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0662F" w14:textId="77777777" w:rsidR="00F24078" w:rsidRDefault="00F24078" w:rsidP="000F3DFA">
      <w:pPr>
        <w:jc w:val="center"/>
        <w:rPr>
          <w:rFonts w:ascii="Times New Roman" w:eastAsia="Times New Roman" w:hAnsi="Times New Roman" w:cs="Times New Roman"/>
          <w:b/>
          <w:color w:val="000000"/>
          <w:sz w:val="28"/>
          <w:szCs w:val="24"/>
        </w:rPr>
      </w:pPr>
    </w:p>
    <w:p w14:paraId="58DA042E" w14:textId="77777777" w:rsidR="00F24078" w:rsidRDefault="00F24078" w:rsidP="000F3DFA">
      <w:pPr>
        <w:jc w:val="center"/>
        <w:rPr>
          <w:rFonts w:ascii="Times New Roman" w:eastAsia="Times New Roman" w:hAnsi="Times New Roman" w:cs="Times New Roman"/>
          <w:b/>
          <w:color w:val="000000"/>
          <w:sz w:val="28"/>
          <w:szCs w:val="24"/>
        </w:rPr>
      </w:pPr>
    </w:p>
    <w:p w14:paraId="643F283E" w14:textId="77777777" w:rsidR="009B59FF"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 xml:space="preserve">When is Managerial </w:t>
      </w:r>
      <w:r w:rsidR="00766221">
        <w:rPr>
          <w:rFonts w:ascii="Times New Roman" w:eastAsia="Times New Roman" w:hAnsi="Times New Roman" w:cs="Times New Roman"/>
          <w:b/>
          <w:color w:val="000000"/>
          <w:sz w:val="28"/>
          <w:szCs w:val="24"/>
        </w:rPr>
        <w:t>Forward-</w:t>
      </w:r>
      <w:r w:rsidR="00E5556E">
        <w:rPr>
          <w:rFonts w:ascii="Times New Roman" w:eastAsia="Times New Roman" w:hAnsi="Times New Roman" w:cs="Times New Roman"/>
          <w:b/>
          <w:color w:val="000000"/>
          <w:sz w:val="28"/>
          <w:szCs w:val="24"/>
        </w:rPr>
        <w:t xml:space="preserve">Looking </w:t>
      </w:r>
      <w:r>
        <w:rPr>
          <w:rFonts w:ascii="Times New Roman" w:eastAsia="Times New Roman" w:hAnsi="Times New Roman" w:cs="Times New Roman"/>
          <w:b/>
          <w:color w:val="000000"/>
          <w:sz w:val="28"/>
          <w:szCs w:val="24"/>
        </w:rPr>
        <w:t xml:space="preserve">Voluntary </w:t>
      </w:r>
      <w:r w:rsidR="00181AFD">
        <w:rPr>
          <w:rFonts w:ascii="Times New Roman" w:eastAsia="Times New Roman" w:hAnsi="Times New Roman" w:cs="Times New Roman"/>
          <w:b/>
          <w:color w:val="000000"/>
          <w:sz w:val="28"/>
          <w:szCs w:val="24"/>
        </w:rPr>
        <w:t xml:space="preserve">Disclosure </w:t>
      </w:r>
      <w:proofErr w:type="gramStart"/>
      <w:r>
        <w:rPr>
          <w:rFonts w:ascii="Times New Roman" w:eastAsia="Times New Roman" w:hAnsi="Times New Roman" w:cs="Times New Roman"/>
          <w:b/>
          <w:color w:val="000000"/>
          <w:sz w:val="28"/>
          <w:szCs w:val="24"/>
        </w:rPr>
        <w:t>Credible</w:t>
      </w:r>
      <w:proofErr w:type="gramEnd"/>
      <w:r>
        <w:rPr>
          <w:rFonts w:ascii="Times New Roman" w:eastAsia="Times New Roman" w:hAnsi="Times New Roman" w:cs="Times New Roman"/>
          <w:b/>
          <w:color w:val="000000"/>
          <w:sz w:val="28"/>
          <w:szCs w:val="24"/>
        </w:rPr>
        <w:t xml:space="preserve"> </w:t>
      </w:r>
    </w:p>
    <w:p w14:paraId="79FBED52" w14:textId="55D1949D" w:rsidR="000F3DFA" w:rsidRPr="000B2D5E"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7611038E" w14:textId="3C23EFE0" w:rsidR="00C73908" w:rsidRDefault="00C73908" w:rsidP="00C73908">
      <w:pPr>
        <w:rPr>
          <w:rFonts w:ascii="Times New Roman" w:hAnsi="Times New Roman" w:cs="Times New Roman"/>
          <w:color w:val="1C1E29"/>
          <w:sz w:val="24"/>
          <w:szCs w:val="24"/>
        </w:rPr>
      </w:pPr>
    </w:p>
    <w:p w14:paraId="247DC2C8" w14:textId="4D4B0C12" w:rsidR="000B2D5E" w:rsidRDefault="000B2D5E" w:rsidP="000F3DFA">
      <w:pPr>
        <w:rPr>
          <w:rFonts w:ascii="Times New Roman" w:hAnsi="Times New Roman" w:cs="Times New Roman"/>
          <w:b/>
          <w:sz w:val="24"/>
          <w:szCs w:val="24"/>
        </w:rPr>
      </w:pPr>
    </w:p>
    <w:p w14:paraId="531ADE69" w14:textId="0AD5205F" w:rsidR="00395BF4" w:rsidRDefault="00395BF4" w:rsidP="000F3DFA">
      <w:pPr>
        <w:rPr>
          <w:rFonts w:ascii="Times New Roman" w:hAnsi="Times New Roman" w:cs="Times New Roman"/>
          <w:b/>
          <w:sz w:val="24"/>
          <w:szCs w:val="24"/>
        </w:rPr>
      </w:pPr>
    </w:p>
    <w:p w14:paraId="2D4781C1" w14:textId="2EDA1936" w:rsidR="00395BF4" w:rsidRDefault="00395BF4" w:rsidP="000F3DFA">
      <w:pPr>
        <w:rPr>
          <w:rFonts w:ascii="Times New Roman" w:hAnsi="Times New Roman" w:cs="Times New Roman"/>
          <w:b/>
          <w:sz w:val="24"/>
          <w:szCs w:val="24"/>
        </w:rPr>
      </w:pPr>
    </w:p>
    <w:p w14:paraId="0EEBD72E" w14:textId="503F4DC1" w:rsidR="000B2D5E" w:rsidRDefault="00C73F55" w:rsidP="00395BF4">
      <w:pPr>
        <w:jc w:val="center"/>
        <w:rPr>
          <w:rFonts w:ascii="Times New Roman" w:hAnsi="Times New Roman" w:cs="Times New Roman"/>
          <w:sz w:val="24"/>
          <w:szCs w:val="24"/>
        </w:rPr>
      </w:pPr>
      <w:r>
        <w:rPr>
          <w:rFonts w:ascii="Times New Roman" w:hAnsi="Times New Roman" w:cs="Times New Roman"/>
          <w:sz w:val="24"/>
          <w:szCs w:val="24"/>
        </w:rPr>
        <w:t>Ying (as J</w:t>
      </w:r>
      <w:r w:rsidR="00395BF4">
        <w:rPr>
          <w:rFonts w:ascii="Times New Roman" w:hAnsi="Times New Roman" w:cs="Times New Roman"/>
          <w:sz w:val="24"/>
          <w:szCs w:val="24"/>
        </w:rPr>
        <w:t>ulie) Huang</w:t>
      </w:r>
      <w:r w:rsidR="004D4931">
        <w:rPr>
          <w:rFonts w:ascii="Times New Roman" w:hAnsi="Times New Roman" w:cs="Times New Roman"/>
          <w:sz w:val="24"/>
          <w:szCs w:val="24"/>
        </w:rPr>
        <w:t xml:space="preserve"> </w:t>
      </w:r>
      <w:r w:rsidR="004D4931" w:rsidRPr="004D4931">
        <w:rPr>
          <w:rFonts w:ascii="Times New Roman" w:hAnsi="Times New Roman" w:cs="Times New Roman"/>
          <w:sz w:val="24"/>
          <w:szCs w:val="24"/>
          <w:vertAlign w:val="superscript"/>
        </w:rPr>
        <w:t>***</w:t>
      </w:r>
    </w:p>
    <w:p w14:paraId="00E9F525" w14:textId="644C20A0"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Associate Professor of Accounting</w:t>
      </w:r>
    </w:p>
    <w:p w14:paraId="6E7BB710" w14:textId="4EDD14F8"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University of Louisville</w:t>
      </w:r>
    </w:p>
    <w:p w14:paraId="337D6BAF" w14:textId="127A57D2" w:rsidR="00395BF4" w:rsidRP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y.huang@louisville.edu</w:t>
      </w:r>
    </w:p>
    <w:p w14:paraId="15F41DC5" w14:textId="47701DD0" w:rsidR="000B2D5E" w:rsidRDefault="000B2D5E" w:rsidP="00395BF4">
      <w:pPr>
        <w:jc w:val="center"/>
        <w:rPr>
          <w:rFonts w:ascii="Times New Roman" w:hAnsi="Times New Roman" w:cs="Times New Roman"/>
          <w:b/>
          <w:sz w:val="24"/>
          <w:szCs w:val="24"/>
        </w:rPr>
      </w:pPr>
    </w:p>
    <w:p w14:paraId="333497C5" w14:textId="77777777" w:rsidR="00395BF4" w:rsidRDefault="00395BF4" w:rsidP="00395BF4">
      <w:pPr>
        <w:jc w:val="center"/>
        <w:rPr>
          <w:rFonts w:ascii="Times New Roman" w:hAnsi="Times New Roman" w:cs="Times New Roman"/>
          <w:b/>
          <w:sz w:val="24"/>
          <w:szCs w:val="24"/>
        </w:rPr>
      </w:pPr>
    </w:p>
    <w:p w14:paraId="70E926AD" w14:textId="77777777" w:rsidR="00395BF4" w:rsidRDefault="00395BF4" w:rsidP="00395BF4">
      <w:pPr>
        <w:jc w:val="center"/>
        <w:rPr>
          <w:rFonts w:ascii="Times New Roman" w:hAnsi="Times New Roman" w:cs="Times New Roman"/>
          <w:b/>
          <w:sz w:val="24"/>
          <w:szCs w:val="24"/>
        </w:rPr>
      </w:pPr>
    </w:p>
    <w:p w14:paraId="58C09CB7" w14:textId="0ECFA2D0" w:rsidR="000B2D5E" w:rsidRDefault="00395BF4" w:rsidP="00395BF4">
      <w:pPr>
        <w:jc w:val="center"/>
        <w:rPr>
          <w:rFonts w:ascii="Times New Roman" w:hAnsi="Times New Roman" w:cs="Times New Roman"/>
          <w:sz w:val="24"/>
          <w:szCs w:val="24"/>
        </w:rPr>
      </w:pPr>
      <w:r>
        <w:rPr>
          <w:rFonts w:ascii="Times New Roman" w:hAnsi="Times New Roman" w:cs="Times New Roman"/>
          <w:sz w:val="24"/>
          <w:szCs w:val="24"/>
        </w:rPr>
        <w:t>Yong Yu</w:t>
      </w:r>
    </w:p>
    <w:p w14:paraId="4EA5C8B3" w14:textId="59652A2E"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Professor of Accounting</w:t>
      </w:r>
    </w:p>
    <w:p w14:paraId="1910001A" w14:textId="0336B86A"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University of Texas at Austin</w:t>
      </w:r>
    </w:p>
    <w:p w14:paraId="63048ABF" w14:textId="71F4774E" w:rsidR="00395BF4" w:rsidRPr="00F24078" w:rsidRDefault="00F24078" w:rsidP="00395BF4">
      <w:pPr>
        <w:jc w:val="center"/>
        <w:rPr>
          <w:rFonts w:ascii="Times New Roman" w:hAnsi="Times New Roman" w:cs="Times New Roman"/>
          <w:sz w:val="24"/>
          <w:szCs w:val="24"/>
        </w:rPr>
      </w:pPr>
      <w:r w:rsidRPr="00F24078">
        <w:rPr>
          <w:rFonts w:ascii="Times New Roman" w:hAnsi="Times New Roman" w:cs="Times New Roman"/>
          <w:sz w:val="24"/>
          <w:szCs w:val="24"/>
        </w:rPr>
        <w:t>yong.yu@mccombs.utexas.edu</w:t>
      </w:r>
    </w:p>
    <w:p w14:paraId="285A5479" w14:textId="77777777" w:rsidR="00395BF4" w:rsidRDefault="00395BF4" w:rsidP="00395BF4">
      <w:pPr>
        <w:jc w:val="center"/>
        <w:rPr>
          <w:rFonts w:ascii="Times New Roman" w:hAnsi="Times New Roman" w:cs="Times New Roman"/>
          <w:b/>
          <w:sz w:val="24"/>
          <w:szCs w:val="24"/>
        </w:rPr>
      </w:pPr>
    </w:p>
    <w:p w14:paraId="6CBD4D43" w14:textId="77777777" w:rsidR="00395BF4" w:rsidRDefault="00395BF4" w:rsidP="00395BF4">
      <w:pPr>
        <w:jc w:val="center"/>
        <w:rPr>
          <w:rFonts w:ascii="Times New Roman" w:hAnsi="Times New Roman" w:cs="Times New Roman"/>
          <w:b/>
          <w:sz w:val="24"/>
          <w:szCs w:val="24"/>
        </w:rPr>
      </w:pPr>
    </w:p>
    <w:p w14:paraId="123958AB" w14:textId="41843319" w:rsidR="00395BF4" w:rsidRDefault="00395BF4" w:rsidP="00395BF4">
      <w:pPr>
        <w:jc w:val="center"/>
        <w:rPr>
          <w:rFonts w:ascii="Times New Roman" w:hAnsi="Times New Roman" w:cs="Times New Roman"/>
          <w:b/>
          <w:sz w:val="24"/>
          <w:szCs w:val="24"/>
        </w:rPr>
      </w:pPr>
    </w:p>
    <w:p w14:paraId="07A9289E" w14:textId="73C92E18" w:rsidR="00395BF4" w:rsidRDefault="00395BF4" w:rsidP="00395BF4">
      <w:pPr>
        <w:jc w:val="center"/>
        <w:rPr>
          <w:rFonts w:ascii="Times New Roman" w:hAnsi="Times New Roman" w:cs="Times New Roman"/>
          <w:b/>
          <w:sz w:val="24"/>
          <w:szCs w:val="24"/>
        </w:rPr>
      </w:pPr>
      <w:r>
        <w:rPr>
          <w:rFonts w:ascii="Times New Roman" w:hAnsi="Times New Roman" w:cs="Times New Roman"/>
          <w:b/>
          <w:sz w:val="24"/>
          <w:szCs w:val="24"/>
        </w:rPr>
        <w:t xml:space="preserve">Current Version: </w:t>
      </w:r>
      <w:r w:rsidR="00282DAC">
        <w:rPr>
          <w:rFonts w:ascii="Times New Roman" w:hAnsi="Times New Roman" w:cs="Times New Roman"/>
          <w:b/>
          <w:sz w:val="24"/>
          <w:szCs w:val="24"/>
        </w:rPr>
        <w:t xml:space="preserve">September </w:t>
      </w:r>
      <w:r>
        <w:rPr>
          <w:rFonts w:ascii="Times New Roman" w:hAnsi="Times New Roman" w:cs="Times New Roman"/>
          <w:b/>
          <w:sz w:val="24"/>
          <w:szCs w:val="24"/>
        </w:rPr>
        <w:t>2020</w:t>
      </w:r>
    </w:p>
    <w:p w14:paraId="01A3C90C" w14:textId="7764DDB5" w:rsidR="00395BF4" w:rsidRDefault="00395BF4" w:rsidP="000F3DFA">
      <w:pPr>
        <w:rPr>
          <w:rFonts w:ascii="Times New Roman" w:hAnsi="Times New Roman" w:cs="Times New Roman"/>
          <w:b/>
          <w:sz w:val="24"/>
          <w:szCs w:val="24"/>
        </w:rPr>
      </w:pPr>
    </w:p>
    <w:p w14:paraId="4EA0E117" w14:textId="77777777" w:rsidR="00395BF4" w:rsidRDefault="00395BF4" w:rsidP="000F3DFA">
      <w:pPr>
        <w:rPr>
          <w:rFonts w:ascii="Times New Roman" w:hAnsi="Times New Roman" w:cs="Times New Roman"/>
          <w:b/>
          <w:sz w:val="24"/>
          <w:szCs w:val="24"/>
        </w:rPr>
      </w:pPr>
    </w:p>
    <w:p w14:paraId="30CB4F7A" w14:textId="77777777" w:rsidR="0077520D" w:rsidRDefault="0077520D" w:rsidP="0077520D">
      <w:pPr>
        <w:rPr>
          <w:rFonts w:ascii="Times New Roman" w:hAnsi="Times New Roman" w:cs="Times New Roman"/>
          <w:b/>
          <w:sz w:val="24"/>
          <w:szCs w:val="24"/>
        </w:rPr>
      </w:pPr>
    </w:p>
    <w:p w14:paraId="3E0D723F" w14:textId="2EAB63D8" w:rsidR="00E2168B" w:rsidRDefault="0077520D" w:rsidP="00F45F4E">
      <w:pPr>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 xml:space="preserve">ABSTRACT: </w:t>
      </w:r>
      <w:r w:rsidR="00BD3AF0">
        <w:rPr>
          <w:rFonts w:ascii="Times New Roman" w:eastAsia="Times New Roman" w:hAnsi="Times New Roman" w:cs="Times New Roman"/>
          <w:color w:val="000000"/>
          <w:sz w:val="24"/>
          <w:szCs w:val="24"/>
        </w:rPr>
        <w:t xml:space="preserve">Managers </w:t>
      </w:r>
      <w:r w:rsidR="00F45F4E">
        <w:rPr>
          <w:rFonts w:ascii="Times New Roman" w:eastAsia="Times New Roman" w:hAnsi="Times New Roman" w:cs="Times New Roman"/>
          <w:color w:val="000000"/>
          <w:sz w:val="24"/>
          <w:szCs w:val="24"/>
        </w:rPr>
        <w:t xml:space="preserve">frequently </w:t>
      </w:r>
      <w:r w:rsidR="00E50386">
        <w:rPr>
          <w:rFonts w:ascii="Times New Roman" w:eastAsia="Times New Roman" w:hAnsi="Times New Roman" w:cs="Times New Roman"/>
          <w:color w:val="000000"/>
          <w:sz w:val="24"/>
          <w:szCs w:val="24"/>
        </w:rPr>
        <w:t xml:space="preserve">disclose their private, </w:t>
      </w:r>
      <w:r w:rsidR="00BD3AF0">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information about </w:t>
      </w:r>
      <w:r w:rsidR="000F3DFA" w:rsidRPr="00BE4149">
        <w:rPr>
          <w:rFonts w:ascii="Times New Roman" w:eastAsia="Times New Roman" w:hAnsi="Times New Roman" w:cs="Times New Roman"/>
          <w:color w:val="000000"/>
          <w:sz w:val="24"/>
          <w:szCs w:val="24"/>
        </w:rPr>
        <w:t>the</w:t>
      </w:r>
      <w:r w:rsidR="00181AFD">
        <w:rPr>
          <w:rFonts w:ascii="Times New Roman" w:eastAsia="Times New Roman" w:hAnsi="Times New Roman" w:cs="Times New Roman"/>
          <w:color w:val="000000"/>
          <w:sz w:val="24"/>
          <w:szCs w:val="24"/>
        </w:rPr>
        <w:t xml:space="preserve"> firm</w:t>
      </w:r>
      <w:r w:rsidR="00CA4B77">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future </w:t>
      </w:r>
      <w:r w:rsidR="00E50386">
        <w:rPr>
          <w:rFonts w:ascii="Times New Roman" w:eastAsia="Times New Roman" w:hAnsi="Times New Roman" w:cs="Times New Roman"/>
          <w:color w:val="000000"/>
          <w:sz w:val="24"/>
          <w:szCs w:val="24"/>
        </w:rPr>
        <w:t>growth on the earnings conference calls</w:t>
      </w:r>
      <w:r w:rsidR="000F3DFA" w:rsidRPr="00E44592">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Forward-looking</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disclosure</w:t>
      </w:r>
      <w:r w:rsidR="00E50386">
        <w:rPr>
          <w:rFonts w:ascii="Times New Roman" w:eastAsia="Times New Roman" w:hAnsi="Times New Roman" w:cs="Times New Roman"/>
          <w:color w:val="000000"/>
          <w:sz w:val="24"/>
          <w:szCs w:val="24"/>
        </w:rPr>
        <w:t xml:space="preserve"> is </w:t>
      </w:r>
      <w:r w:rsidR="00562334">
        <w:rPr>
          <w:rFonts w:ascii="Times New Roman" w:eastAsia="Times New Roman" w:hAnsi="Times New Roman" w:cs="Times New Roman"/>
          <w:color w:val="000000"/>
          <w:sz w:val="24"/>
          <w:szCs w:val="24"/>
        </w:rPr>
        <w:t xml:space="preserve">often </w:t>
      </w:r>
      <w:r w:rsidR="00E50386">
        <w:rPr>
          <w:rFonts w:ascii="Times New Roman" w:eastAsia="Times New Roman" w:hAnsi="Times New Roman" w:cs="Times New Roman"/>
          <w:color w:val="000000"/>
          <w:sz w:val="24"/>
          <w:szCs w:val="24"/>
        </w:rPr>
        <w:t>viewed as</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informative</w:t>
      </w:r>
      <w:r w:rsidR="000F3DFA" w:rsidRPr="000F3DFA">
        <w:rPr>
          <w:rFonts w:ascii="Times New Roman" w:eastAsia="Times New Roman" w:hAnsi="Times New Roman" w:cs="Times New Roman"/>
          <w:color w:val="000000"/>
          <w:sz w:val="24"/>
          <w:szCs w:val="24"/>
        </w:rPr>
        <w:t xml:space="preserve"> but</w:t>
      </w:r>
      <w:r w:rsidR="00960F55">
        <w:rPr>
          <w:rFonts w:ascii="Times New Roman" w:eastAsia="Times New Roman" w:hAnsi="Times New Roman" w:cs="Times New Roman"/>
          <w:color w:val="000000"/>
          <w:sz w:val="24"/>
          <w:szCs w:val="24"/>
        </w:rPr>
        <w:t xml:space="preserve"> sometimes </w:t>
      </w:r>
      <w:r w:rsidR="00E5556E">
        <w:rPr>
          <w:rFonts w:ascii="Times New Roman" w:eastAsia="Times New Roman" w:hAnsi="Times New Roman" w:cs="Times New Roman"/>
          <w:color w:val="000000"/>
          <w:sz w:val="24"/>
          <w:szCs w:val="24"/>
        </w:rPr>
        <w:t>misleading</w:t>
      </w:r>
      <w:r w:rsidR="000F3DFA" w:rsidRPr="000F3DFA">
        <w:rPr>
          <w:rFonts w:ascii="Times New Roman" w:eastAsia="Times New Roman" w:hAnsi="Times New Roman" w:cs="Times New Roman"/>
          <w:color w:val="000000"/>
          <w:sz w:val="24"/>
          <w:szCs w:val="24"/>
        </w:rPr>
        <w:t xml:space="preserve">. </w:t>
      </w:r>
      <w:r w:rsidR="00E50386">
        <w:rPr>
          <w:rFonts w:ascii="Times New Roman" w:hAnsi="Times New Roman" w:cs="Times New Roman"/>
          <w:color w:val="1C1E29"/>
          <w:sz w:val="24"/>
          <w:szCs w:val="24"/>
        </w:rPr>
        <w:t xml:space="preserve">For </w:t>
      </w:r>
      <w:r w:rsidR="00523E22">
        <w:rPr>
          <w:rFonts w:ascii="Times New Roman" w:hAnsi="Times New Roman" w:cs="Times New Roman"/>
          <w:color w:val="1C1E29"/>
          <w:sz w:val="24"/>
          <w:szCs w:val="24"/>
        </w:rPr>
        <w:t>firms that practice conservative financial reporting</w:t>
      </w:r>
      <w:r w:rsidR="009468A9">
        <w:rPr>
          <w:rFonts w:ascii="Times New Roman" w:eastAsia="Times New Roman" w:hAnsi="Times New Roman" w:cs="Times New Roman"/>
          <w:color w:val="000000"/>
          <w:sz w:val="24"/>
          <w:szCs w:val="24"/>
        </w:rPr>
        <w:t>, t</w:t>
      </w:r>
      <w:r w:rsidR="00670EF9" w:rsidRPr="00182A8C">
        <w:rPr>
          <w:rFonts w:ascii="Times New Roman" w:hAnsi="Times New Roman" w:cs="Times New Roman"/>
          <w:color w:val="1C1E29"/>
          <w:sz w:val="24"/>
          <w:szCs w:val="24"/>
        </w:rPr>
        <w:t xml:space="preserve">he stronger verification </w:t>
      </w:r>
      <w:r w:rsidR="00181AFD">
        <w:rPr>
          <w:rFonts w:ascii="Times New Roman" w:hAnsi="Times New Roman" w:cs="Times New Roman"/>
          <w:color w:val="1C1E29"/>
          <w:sz w:val="24"/>
          <w:szCs w:val="24"/>
        </w:rPr>
        <w:t>standard</w:t>
      </w:r>
      <w:r w:rsidR="00E50386">
        <w:rPr>
          <w:rFonts w:ascii="Times New Roman" w:hAnsi="Times New Roman" w:cs="Times New Roman"/>
          <w:color w:val="1C1E29"/>
          <w:sz w:val="24"/>
          <w:szCs w:val="24"/>
        </w:rPr>
        <w:t>s</w:t>
      </w:r>
      <w:r w:rsidR="00181AFD">
        <w:rPr>
          <w:rFonts w:ascii="Times New Roman" w:hAnsi="Times New Roman" w:cs="Times New Roman"/>
          <w:color w:val="1C1E29"/>
          <w:sz w:val="24"/>
          <w:szCs w:val="24"/>
        </w:rPr>
        <w:t xml:space="preserve"> </w:t>
      </w:r>
      <w:r w:rsidR="00562334">
        <w:rPr>
          <w:rFonts w:ascii="Times New Roman" w:hAnsi="Times New Roman" w:cs="Times New Roman"/>
          <w:color w:val="1C1E29"/>
          <w:sz w:val="24"/>
          <w:szCs w:val="24"/>
        </w:rPr>
        <w:t>to</w:t>
      </w:r>
      <w:r w:rsidR="00670EF9" w:rsidRPr="00182A8C">
        <w:rPr>
          <w:rFonts w:ascii="Times New Roman" w:hAnsi="Times New Roman" w:cs="Times New Roman"/>
          <w:color w:val="1C1E29"/>
          <w:sz w:val="24"/>
          <w:szCs w:val="24"/>
        </w:rPr>
        <w:t xml:space="preserve"> recogni</w:t>
      </w:r>
      <w:r w:rsidR="00E50386">
        <w:rPr>
          <w:rFonts w:ascii="Times New Roman" w:hAnsi="Times New Roman" w:cs="Times New Roman"/>
          <w:color w:val="1C1E29"/>
          <w:sz w:val="24"/>
          <w:szCs w:val="24"/>
        </w:rPr>
        <w:t>z</w:t>
      </w:r>
      <w:r w:rsidR="00562334">
        <w:rPr>
          <w:rFonts w:ascii="Times New Roman" w:hAnsi="Times New Roman" w:cs="Times New Roman"/>
          <w:color w:val="1C1E29"/>
          <w:sz w:val="24"/>
          <w:szCs w:val="24"/>
        </w:rPr>
        <w:t>e</w:t>
      </w:r>
      <w:r w:rsidR="00E50386">
        <w:rPr>
          <w:rFonts w:ascii="Times New Roman" w:hAnsi="Times New Roman" w:cs="Times New Roman"/>
          <w:color w:val="1C1E29"/>
          <w:sz w:val="24"/>
          <w:szCs w:val="24"/>
        </w:rPr>
        <w:t xml:space="preserve"> </w:t>
      </w:r>
      <w:r w:rsidR="00670EF9" w:rsidRPr="00182A8C">
        <w:rPr>
          <w:rFonts w:ascii="Times New Roman" w:hAnsi="Times New Roman" w:cs="Times New Roman"/>
          <w:color w:val="1C1E29"/>
          <w:sz w:val="24"/>
          <w:szCs w:val="24"/>
        </w:rPr>
        <w:t xml:space="preserve">unrealized gains than losses </w:t>
      </w:r>
      <w:r w:rsidR="00181AFD">
        <w:rPr>
          <w:rFonts w:ascii="Times New Roman" w:eastAsia="Times New Roman" w:hAnsi="Times New Roman" w:cs="Times New Roman"/>
          <w:color w:val="000000"/>
          <w:sz w:val="24"/>
          <w:szCs w:val="24"/>
        </w:rPr>
        <w:t>require</w:t>
      </w:r>
      <w:r w:rsidR="00670EF9">
        <w:rPr>
          <w:rFonts w:ascii="Times New Roman" w:eastAsia="Times New Roman" w:hAnsi="Times New Roman" w:cs="Times New Roman"/>
          <w:color w:val="000000"/>
          <w:sz w:val="24"/>
          <w:szCs w:val="24"/>
        </w:rPr>
        <w:t xml:space="preserve"> managers to implicitly commit to disclosing unverifiable information</w:t>
      </w:r>
      <w:r w:rsidR="004F72BE">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more </w:t>
      </w:r>
      <w:r w:rsidR="004F72BE">
        <w:rPr>
          <w:rFonts w:ascii="Times New Roman" w:eastAsia="Times New Roman" w:hAnsi="Times New Roman" w:cs="Times New Roman"/>
          <w:color w:val="000000"/>
          <w:sz w:val="24"/>
          <w:szCs w:val="24"/>
        </w:rPr>
        <w:t>truthfully</w:t>
      </w:r>
      <w:r w:rsidR="002A17DE">
        <w:rPr>
          <w:rFonts w:ascii="Times New Roman" w:eastAsia="Times New Roman" w:hAnsi="Times New Roman" w:cs="Times New Roman"/>
          <w:color w:val="000000"/>
          <w:sz w:val="24"/>
          <w:szCs w:val="24"/>
        </w:rPr>
        <w:t xml:space="preserve">. </w:t>
      </w:r>
      <w:r w:rsidR="00181AFD">
        <w:rPr>
          <w:rFonts w:ascii="Times New Roman" w:eastAsia="Times New Roman" w:hAnsi="Times New Roman" w:cs="Times New Roman"/>
          <w:color w:val="000000"/>
          <w:sz w:val="24"/>
          <w:szCs w:val="24"/>
        </w:rPr>
        <w:t xml:space="preserve">We </w:t>
      </w:r>
      <w:r w:rsidR="000930C5">
        <w:rPr>
          <w:rFonts w:ascii="Times New Roman" w:eastAsia="Times New Roman" w:hAnsi="Times New Roman" w:cs="Times New Roman"/>
          <w:color w:val="000000"/>
          <w:sz w:val="24"/>
          <w:szCs w:val="24"/>
        </w:rPr>
        <w:t xml:space="preserve">hypothesize and </w:t>
      </w:r>
      <w:r w:rsidR="00181AFD">
        <w:rPr>
          <w:rFonts w:ascii="Times New Roman" w:eastAsia="Times New Roman" w:hAnsi="Times New Roman" w:cs="Times New Roman"/>
          <w:color w:val="000000"/>
          <w:sz w:val="24"/>
          <w:szCs w:val="24"/>
        </w:rPr>
        <w:t>find that</w:t>
      </w:r>
      <w:r w:rsidR="002A17DE">
        <w:rPr>
          <w:rFonts w:ascii="Times New Roman" w:eastAsia="Times New Roman" w:hAnsi="Times New Roman" w:cs="Times New Roman"/>
          <w:color w:val="000000"/>
          <w:sz w:val="24"/>
          <w:szCs w:val="24"/>
        </w:rPr>
        <w:t xml:space="preserve"> </w:t>
      </w:r>
      <w:r w:rsidR="00562334">
        <w:rPr>
          <w:rFonts w:ascii="Times New Roman" w:eastAsia="Times New Roman" w:hAnsi="Times New Roman" w:cs="Times New Roman"/>
          <w:color w:val="000000"/>
          <w:sz w:val="24"/>
          <w:szCs w:val="24"/>
        </w:rPr>
        <w:t xml:space="preserve">when </w:t>
      </w:r>
      <w:r w:rsidR="002A17DE">
        <w:rPr>
          <w:rFonts w:ascii="Times New Roman" w:eastAsia="Times New Roman" w:hAnsi="Times New Roman" w:cs="Times New Roman"/>
          <w:color w:val="000000"/>
          <w:sz w:val="24"/>
          <w:szCs w:val="24"/>
        </w:rPr>
        <w:t xml:space="preserve">firms </w:t>
      </w:r>
      <w:r w:rsidR="00E50386">
        <w:rPr>
          <w:rFonts w:ascii="Times New Roman" w:eastAsia="Times New Roman" w:hAnsi="Times New Roman" w:cs="Times New Roman"/>
          <w:color w:val="000000"/>
          <w:sz w:val="24"/>
          <w:szCs w:val="24"/>
        </w:rPr>
        <w:t>hav</w:t>
      </w:r>
      <w:r w:rsidR="00562334">
        <w:rPr>
          <w:rFonts w:ascii="Times New Roman" w:eastAsia="Times New Roman" w:hAnsi="Times New Roman" w:cs="Times New Roman"/>
          <w:color w:val="000000"/>
          <w:sz w:val="24"/>
          <w:szCs w:val="24"/>
        </w:rPr>
        <w:t>e</w:t>
      </w:r>
      <w:r w:rsidR="00E50386">
        <w:rPr>
          <w:rFonts w:ascii="Times New Roman" w:eastAsia="Times New Roman" w:hAnsi="Times New Roman" w:cs="Times New Roman"/>
          <w:color w:val="000000"/>
          <w:sz w:val="24"/>
          <w:szCs w:val="24"/>
        </w:rPr>
        <w:t xml:space="preserve"> </w:t>
      </w:r>
      <w:r w:rsidR="002A17DE">
        <w:rPr>
          <w:rFonts w:ascii="Times New Roman" w:eastAsia="Times New Roman" w:hAnsi="Times New Roman" w:cs="Times New Roman"/>
          <w:color w:val="000000"/>
          <w:sz w:val="24"/>
          <w:szCs w:val="24"/>
        </w:rPr>
        <w:t xml:space="preserve">both characteristics --- </w:t>
      </w:r>
      <w:r w:rsidR="00670EF9">
        <w:rPr>
          <w:rFonts w:ascii="Times New Roman" w:eastAsia="Times New Roman" w:hAnsi="Times New Roman" w:cs="Times New Roman"/>
          <w:color w:val="000000"/>
          <w:sz w:val="24"/>
          <w:szCs w:val="24"/>
        </w:rPr>
        <w:t xml:space="preserve">forward-looking </w:t>
      </w:r>
      <w:r w:rsidR="00181AFD">
        <w:rPr>
          <w:rFonts w:ascii="Times New Roman" w:eastAsia="Times New Roman" w:hAnsi="Times New Roman" w:cs="Times New Roman"/>
          <w:color w:val="000000"/>
          <w:sz w:val="24"/>
          <w:szCs w:val="24"/>
        </w:rPr>
        <w:t>disclos</w:t>
      </w:r>
      <w:r w:rsidR="00E50386">
        <w:rPr>
          <w:rFonts w:ascii="Times New Roman" w:eastAsia="Times New Roman" w:hAnsi="Times New Roman" w:cs="Times New Roman"/>
          <w:color w:val="000000"/>
          <w:sz w:val="24"/>
          <w:szCs w:val="24"/>
        </w:rPr>
        <w:t>ing</w:t>
      </w:r>
      <w:r w:rsidR="002A17DE">
        <w:rPr>
          <w:rFonts w:ascii="Times New Roman" w:eastAsia="Times New Roman" w:hAnsi="Times New Roman" w:cs="Times New Roman"/>
          <w:color w:val="000000"/>
          <w:sz w:val="24"/>
          <w:szCs w:val="24"/>
        </w:rPr>
        <w:t xml:space="preserve"> and </w:t>
      </w:r>
      <w:r w:rsidR="00E5556E">
        <w:rPr>
          <w:rFonts w:ascii="Times New Roman" w:eastAsia="Times New Roman" w:hAnsi="Times New Roman" w:cs="Times New Roman"/>
          <w:color w:val="000000"/>
          <w:sz w:val="24"/>
          <w:szCs w:val="24"/>
        </w:rPr>
        <w:t xml:space="preserve">conservative </w:t>
      </w:r>
      <w:r w:rsidR="00562334">
        <w:rPr>
          <w:rFonts w:ascii="Times New Roman" w:eastAsia="Times New Roman" w:hAnsi="Times New Roman" w:cs="Times New Roman"/>
          <w:color w:val="000000"/>
          <w:sz w:val="24"/>
          <w:szCs w:val="24"/>
        </w:rPr>
        <w:t xml:space="preserve">financial </w:t>
      </w:r>
      <w:r w:rsidR="00E5556E">
        <w:rPr>
          <w:rFonts w:ascii="Times New Roman" w:eastAsia="Times New Roman" w:hAnsi="Times New Roman" w:cs="Times New Roman"/>
          <w:color w:val="000000"/>
          <w:sz w:val="24"/>
          <w:szCs w:val="24"/>
        </w:rPr>
        <w:t>reporting</w:t>
      </w:r>
      <w:r w:rsidR="00562334">
        <w:rPr>
          <w:rFonts w:ascii="Times New Roman" w:eastAsia="Times New Roman" w:hAnsi="Times New Roman" w:cs="Times New Roman"/>
          <w:color w:val="000000"/>
          <w:sz w:val="24"/>
          <w:szCs w:val="24"/>
        </w:rPr>
        <w:t>, manager</w:t>
      </w:r>
      <w:r w:rsidR="002A122B">
        <w:rPr>
          <w:rFonts w:ascii="Times New Roman" w:eastAsia="Times New Roman" w:hAnsi="Times New Roman" w:cs="Times New Roman"/>
          <w:color w:val="000000"/>
          <w:sz w:val="24"/>
          <w:szCs w:val="24"/>
        </w:rPr>
        <w:t xml:space="preserve">s provide more of truthful private </w:t>
      </w:r>
      <w:r w:rsidR="00562334">
        <w:rPr>
          <w:rFonts w:ascii="Times New Roman" w:eastAsia="Times New Roman" w:hAnsi="Times New Roman" w:cs="Times New Roman"/>
          <w:color w:val="000000"/>
          <w:sz w:val="24"/>
          <w:szCs w:val="24"/>
        </w:rPr>
        <w:t>information to the market</w:t>
      </w:r>
      <w:r w:rsidR="002A122B">
        <w:rPr>
          <w:rFonts w:ascii="Times New Roman" w:eastAsia="Times New Roman" w:hAnsi="Times New Roman" w:cs="Times New Roman"/>
          <w:color w:val="000000"/>
          <w:sz w:val="24"/>
          <w:szCs w:val="24"/>
        </w:rPr>
        <w:t>, improving the firm information environment</w:t>
      </w:r>
      <w:r w:rsidR="000F3DFA" w:rsidRPr="00E44592">
        <w:rPr>
          <w:rFonts w:ascii="Times New Roman" w:eastAsia="Times New Roman" w:hAnsi="Times New Roman" w:cs="Times New Roman"/>
          <w:color w:val="000000"/>
          <w:sz w:val="24"/>
          <w:szCs w:val="24"/>
        </w:rPr>
        <w:t xml:space="preserve">. </w:t>
      </w:r>
      <w:r w:rsidR="002A122B">
        <w:rPr>
          <w:rFonts w:ascii="Times New Roman" w:eastAsia="Times New Roman" w:hAnsi="Times New Roman" w:cs="Times New Roman"/>
          <w:color w:val="000000"/>
          <w:sz w:val="24"/>
          <w:szCs w:val="24"/>
        </w:rPr>
        <w:t>T</w:t>
      </w:r>
      <w:r w:rsidR="00E50386">
        <w:rPr>
          <w:rFonts w:ascii="Times New Roman" w:eastAsia="Times New Roman" w:hAnsi="Times New Roman" w:cs="Times New Roman"/>
          <w:color w:val="000000"/>
          <w:sz w:val="24"/>
          <w:szCs w:val="24"/>
        </w:rPr>
        <w:t xml:space="preserve">hese firms </w:t>
      </w:r>
      <w:r w:rsidR="00562334">
        <w:rPr>
          <w:rFonts w:ascii="Times New Roman" w:eastAsia="Times New Roman" w:hAnsi="Times New Roman" w:cs="Times New Roman"/>
          <w:color w:val="000000"/>
          <w:sz w:val="24"/>
          <w:szCs w:val="24"/>
        </w:rPr>
        <w:t xml:space="preserve">have </w:t>
      </w:r>
      <w:r w:rsidR="00E50386">
        <w:rPr>
          <w:rFonts w:ascii="Times New Roman" w:eastAsia="Times New Roman" w:hAnsi="Times New Roman" w:cs="Times New Roman"/>
          <w:color w:val="000000"/>
          <w:sz w:val="24"/>
          <w:szCs w:val="24"/>
        </w:rPr>
        <w:t>reduce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bid-ask spreads</w:t>
      </w:r>
      <w:r w:rsidR="00562334">
        <w:rPr>
          <w:rFonts w:ascii="Times New Roman" w:eastAsia="Times New Roman" w:hAnsi="Times New Roman" w:cs="Times New Roman"/>
          <w:color w:val="000000"/>
          <w:sz w:val="24"/>
          <w:szCs w:val="24"/>
        </w:rPr>
        <w:t xml:space="preserve">, </w:t>
      </w:r>
      <w:r w:rsidR="00E50386">
        <w:rPr>
          <w:rFonts w:ascii="Times New Roman" w:eastAsia="Times New Roman" w:hAnsi="Times New Roman" w:cs="Times New Roman"/>
          <w:color w:val="000000"/>
          <w:sz w:val="24"/>
          <w:szCs w:val="24"/>
        </w:rPr>
        <w:t>improve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analyst forecast </w:t>
      </w:r>
      <w:r w:rsidR="00E50386">
        <w:rPr>
          <w:rFonts w:ascii="Times New Roman" w:eastAsia="Times New Roman" w:hAnsi="Times New Roman" w:cs="Times New Roman"/>
          <w:color w:val="000000"/>
          <w:sz w:val="24"/>
          <w:szCs w:val="24"/>
        </w:rPr>
        <w:t>accuracy</w:t>
      </w:r>
      <w:r w:rsidR="00562334">
        <w:rPr>
          <w:rFonts w:ascii="Times New Roman" w:eastAsia="Times New Roman" w:hAnsi="Times New Roman" w:cs="Times New Roman"/>
          <w:color w:val="000000"/>
          <w:sz w:val="24"/>
          <w:szCs w:val="24"/>
        </w:rPr>
        <w:t>,</w:t>
      </w:r>
      <w:r w:rsidR="00E50386">
        <w:rPr>
          <w:rFonts w:ascii="Times New Roman" w:eastAsia="Times New Roman" w:hAnsi="Times New Roman" w:cs="Times New Roman"/>
          <w:color w:val="000000"/>
          <w:sz w:val="24"/>
          <w:szCs w:val="24"/>
        </w:rPr>
        <w:t xml:space="preserve"> and decrease</w:t>
      </w:r>
      <w:r w:rsidR="00562334">
        <w:rPr>
          <w:rFonts w:ascii="Times New Roman" w:eastAsia="Times New Roman" w:hAnsi="Times New Roman" w:cs="Times New Roman"/>
          <w:color w:val="000000"/>
          <w:sz w:val="24"/>
          <w:szCs w:val="24"/>
        </w:rPr>
        <w:t xml:space="preserve">d </w:t>
      </w:r>
      <w:r w:rsidR="00E5556E">
        <w:rPr>
          <w:rFonts w:ascii="Times New Roman" w:eastAsia="Times New Roman" w:hAnsi="Times New Roman" w:cs="Times New Roman"/>
          <w:color w:val="000000"/>
          <w:sz w:val="24"/>
          <w:szCs w:val="24"/>
        </w:rPr>
        <w:t>forecast dispersion</w:t>
      </w:r>
      <w:r w:rsidR="003B0540">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Further, the joint </w:t>
      </w:r>
      <w:r w:rsidR="003B0540">
        <w:rPr>
          <w:rFonts w:ascii="Times New Roman" w:eastAsia="Times New Roman" w:hAnsi="Times New Roman" w:cs="Times New Roman"/>
          <w:color w:val="000000"/>
          <w:sz w:val="24"/>
          <w:szCs w:val="24"/>
        </w:rPr>
        <w:t>effect</w:t>
      </w:r>
      <w:r w:rsidR="00E5556E">
        <w:rPr>
          <w:rFonts w:ascii="Times New Roman" w:eastAsia="Times New Roman" w:hAnsi="Times New Roman" w:cs="Times New Roman"/>
          <w:color w:val="000000"/>
          <w:sz w:val="24"/>
          <w:szCs w:val="24"/>
        </w:rPr>
        <w:t>s</w:t>
      </w:r>
      <w:r w:rsidR="003B0540">
        <w:rPr>
          <w:rFonts w:ascii="Times New Roman" w:eastAsia="Times New Roman" w:hAnsi="Times New Roman" w:cs="Times New Roman"/>
          <w:color w:val="000000"/>
          <w:sz w:val="24"/>
          <w:szCs w:val="24"/>
        </w:rPr>
        <w:t xml:space="preserve"> of </w:t>
      </w:r>
      <w:r w:rsidR="002B1D1B">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w:t>
      </w:r>
      <w:r w:rsidR="00562334">
        <w:rPr>
          <w:rFonts w:ascii="Times New Roman" w:eastAsia="Times New Roman" w:hAnsi="Times New Roman" w:cs="Times New Roman"/>
          <w:color w:val="000000"/>
          <w:sz w:val="24"/>
          <w:szCs w:val="24"/>
        </w:rPr>
        <w:t>disclosure</w:t>
      </w:r>
      <w:r w:rsidR="002B1D1B">
        <w:rPr>
          <w:rFonts w:ascii="Times New Roman" w:eastAsia="Times New Roman" w:hAnsi="Times New Roman" w:cs="Times New Roman"/>
          <w:color w:val="000000"/>
          <w:sz w:val="24"/>
          <w:szCs w:val="24"/>
        </w:rPr>
        <w:t xml:space="preserve"> </w:t>
      </w:r>
      <w:r w:rsidR="003B0540">
        <w:rPr>
          <w:rFonts w:ascii="Times New Roman" w:eastAsia="Times New Roman" w:hAnsi="Times New Roman" w:cs="Times New Roman"/>
          <w:color w:val="000000"/>
          <w:sz w:val="24"/>
          <w:szCs w:val="24"/>
        </w:rPr>
        <w:t xml:space="preserve">and accounting conservatism </w:t>
      </w:r>
      <w:r w:rsidR="000F3DFA" w:rsidRPr="00E44592">
        <w:rPr>
          <w:rFonts w:ascii="Times New Roman" w:eastAsia="Times New Roman" w:hAnsi="Times New Roman" w:cs="Times New Roman"/>
          <w:color w:val="000000"/>
          <w:sz w:val="24"/>
          <w:szCs w:val="24"/>
        </w:rPr>
        <w:t xml:space="preserve">on firm information environment </w:t>
      </w:r>
      <w:r w:rsidR="00E5556E">
        <w:rPr>
          <w:rFonts w:ascii="Times New Roman" w:eastAsia="Times New Roman" w:hAnsi="Times New Roman" w:cs="Times New Roman"/>
          <w:color w:val="000000"/>
          <w:sz w:val="24"/>
          <w:szCs w:val="24"/>
        </w:rPr>
        <w:t xml:space="preserve">are </w:t>
      </w:r>
      <w:r w:rsidR="00E50386">
        <w:rPr>
          <w:rFonts w:ascii="Times New Roman" w:eastAsia="Times New Roman" w:hAnsi="Times New Roman" w:cs="Times New Roman"/>
          <w:color w:val="000000"/>
          <w:sz w:val="24"/>
          <w:szCs w:val="24"/>
        </w:rPr>
        <w:t xml:space="preserve">observed </w:t>
      </w:r>
      <w:r w:rsidR="003B0540">
        <w:rPr>
          <w:rFonts w:ascii="Times New Roman" w:eastAsia="Times New Roman" w:hAnsi="Times New Roman" w:cs="Times New Roman"/>
          <w:color w:val="000000"/>
          <w:sz w:val="24"/>
          <w:szCs w:val="24"/>
        </w:rPr>
        <w:t>stronger in</w:t>
      </w:r>
      <w:r w:rsidR="002B1D1B">
        <w:rPr>
          <w:rFonts w:ascii="Times New Roman" w:eastAsia="Times New Roman" w:hAnsi="Times New Roman" w:cs="Times New Roman"/>
          <w:color w:val="000000"/>
          <w:sz w:val="24"/>
          <w:szCs w:val="24"/>
        </w:rPr>
        <w:t xml:space="preserve"> </w:t>
      </w:r>
      <w:r w:rsidR="000F3DFA" w:rsidRPr="0026017C">
        <w:rPr>
          <w:rFonts w:ascii="Times New Roman" w:eastAsia="Times New Roman" w:hAnsi="Times New Roman" w:cs="Times New Roman"/>
          <w:color w:val="000000"/>
          <w:sz w:val="24"/>
          <w:szCs w:val="24"/>
        </w:rPr>
        <w:t xml:space="preserve">firms </w:t>
      </w:r>
      <w:r w:rsidR="000930C5">
        <w:rPr>
          <w:rFonts w:ascii="Times New Roman" w:eastAsia="Times New Roman" w:hAnsi="Times New Roman" w:cs="Times New Roman"/>
          <w:color w:val="000000"/>
          <w:sz w:val="24"/>
          <w:szCs w:val="24"/>
        </w:rPr>
        <w:t>with</w:t>
      </w:r>
      <w:r w:rsidR="002B1D1B">
        <w:rPr>
          <w:rFonts w:ascii="Times New Roman" w:eastAsia="Times New Roman" w:hAnsi="Times New Roman" w:cs="Times New Roman"/>
          <w:color w:val="000000"/>
          <w:sz w:val="24"/>
          <w:szCs w:val="24"/>
        </w:rPr>
        <w:t xml:space="preserve"> higher R&amp;D investments, </w:t>
      </w:r>
      <w:r w:rsidR="009468A9">
        <w:rPr>
          <w:rFonts w:ascii="Times New Roman" w:eastAsia="Times New Roman" w:hAnsi="Times New Roman" w:cs="Times New Roman"/>
          <w:color w:val="000000"/>
          <w:sz w:val="24"/>
          <w:szCs w:val="24"/>
        </w:rPr>
        <w:t xml:space="preserve">more </w:t>
      </w:r>
      <w:r w:rsidR="002B1D1B">
        <w:rPr>
          <w:rFonts w:ascii="Times New Roman" w:eastAsia="Times New Roman" w:hAnsi="Times New Roman" w:cs="Times New Roman"/>
          <w:color w:val="000000"/>
          <w:sz w:val="24"/>
          <w:szCs w:val="24"/>
        </w:rPr>
        <w:t xml:space="preserve">growth options, and </w:t>
      </w:r>
      <w:r w:rsidR="009468A9">
        <w:rPr>
          <w:rFonts w:ascii="Times New Roman" w:eastAsia="Times New Roman" w:hAnsi="Times New Roman" w:cs="Times New Roman"/>
          <w:color w:val="000000"/>
          <w:sz w:val="24"/>
          <w:szCs w:val="24"/>
        </w:rPr>
        <w:t>higher</w:t>
      </w:r>
      <w:r w:rsidR="000F3DFA" w:rsidRPr="0026017C">
        <w:rPr>
          <w:rFonts w:ascii="Times New Roman" w:eastAsia="Times New Roman" w:hAnsi="Times New Roman" w:cs="Times New Roman"/>
          <w:color w:val="000000"/>
          <w:sz w:val="24"/>
          <w:szCs w:val="24"/>
        </w:rPr>
        <w:t xml:space="preserve"> </w:t>
      </w:r>
      <w:r w:rsidR="000F3DFA">
        <w:rPr>
          <w:rFonts w:ascii="Times New Roman" w:eastAsia="Times New Roman" w:hAnsi="Times New Roman" w:cs="Times New Roman"/>
          <w:color w:val="000000"/>
          <w:sz w:val="24"/>
          <w:szCs w:val="24"/>
        </w:rPr>
        <w:t>institutional ownership</w:t>
      </w:r>
      <w:r w:rsidR="003B0540">
        <w:rPr>
          <w:rFonts w:ascii="Times New Roman" w:eastAsia="Times New Roman" w:hAnsi="Times New Roman" w:cs="Times New Roman"/>
          <w:color w:val="000000"/>
          <w:sz w:val="24"/>
          <w:szCs w:val="24"/>
        </w:rPr>
        <w:t>.</w:t>
      </w:r>
      <w:r w:rsidR="000930C5">
        <w:rPr>
          <w:rFonts w:ascii="Times New Roman" w:eastAsia="Times New Roman" w:hAnsi="Times New Roman" w:cs="Times New Roman"/>
          <w:color w:val="000000"/>
          <w:sz w:val="24"/>
          <w:szCs w:val="24"/>
        </w:rPr>
        <w:t xml:space="preserve"> We </w:t>
      </w:r>
      <w:r w:rsidR="00E50386">
        <w:rPr>
          <w:rFonts w:ascii="Times New Roman" w:eastAsia="Times New Roman" w:hAnsi="Times New Roman" w:cs="Times New Roman"/>
          <w:color w:val="000000"/>
          <w:sz w:val="24"/>
          <w:szCs w:val="24"/>
        </w:rPr>
        <w:t xml:space="preserve">also </w:t>
      </w:r>
      <w:r w:rsidR="000930C5">
        <w:rPr>
          <w:rFonts w:ascii="Times New Roman" w:eastAsia="Times New Roman" w:hAnsi="Times New Roman" w:cs="Times New Roman"/>
          <w:color w:val="000000"/>
          <w:sz w:val="24"/>
          <w:szCs w:val="24"/>
        </w:rPr>
        <w:t>find that m</w:t>
      </w:r>
      <w:r w:rsidR="000930C5" w:rsidRPr="000930C5">
        <w:rPr>
          <w:rFonts w:ascii="Times New Roman" w:hAnsi="Times New Roman" w:cs="Times New Roman"/>
          <w:bCs/>
          <w:color w:val="1C1E29"/>
          <w:sz w:val="24"/>
          <w:szCs w:val="24"/>
        </w:rPr>
        <w:t>anagers of conservative</w:t>
      </w:r>
      <w:r w:rsidR="00562334">
        <w:rPr>
          <w:rFonts w:ascii="Times New Roman" w:hAnsi="Times New Roman" w:cs="Times New Roman"/>
          <w:bCs/>
          <w:color w:val="1C1E29"/>
          <w:sz w:val="24"/>
          <w:szCs w:val="24"/>
        </w:rPr>
        <w:t xml:space="preserve"> </w:t>
      </w:r>
      <w:r w:rsidR="000930C5" w:rsidRPr="000930C5">
        <w:rPr>
          <w:rFonts w:ascii="Times New Roman" w:hAnsi="Times New Roman" w:cs="Times New Roman"/>
          <w:bCs/>
          <w:color w:val="1C1E29"/>
          <w:sz w:val="24"/>
          <w:szCs w:val="24"/>
        </w:rPr>
        <w:t xml:space="preserve">firms provide more </w:t>
      </w:r>
      <w:r w:rsidR="00F45F4E">
        <w:rPr>
          <w:rFonts w:ascii="Times New Roman" w:hAnsi="Times New Roman" w:cs="Times New Roman"/>
          <w:bCs/>
          <w:color w:val="1C1E29"/>
          <w:sz w:val="24"/>
          <w:szCs w:val="24"/>
        </w:rPr>
        <w:t xml:space="preserve">qualitative, positive-toned </w:t>
      </w:r>
      <w:r w:rsidR="000930C5" w:rsidRPr="000930C5">
        <w:rPr>
          <w:rFonts w:ascii="Times New Roman" w:hAnsi="Times New Roman" w:cs="Times New Roman"/>
          <w:bCs/>
          <w:color w:val="1C1E29"/>
          <w:sz w:val="24"/>
          <w:szCs w:val="24"/>
        </w:rPr>
        <w:t xml:space="preserve">forward-looking statements that are </w:t>
      </w:r>
      <w:r w:rsidR="00F45F4E" w:rsidRPr="000930C5">
        <w:rPr>
          <w:rFonts w:ascii="Times New Roman" w:hAnsi="Times New Roman" w:cs="Times New Roman"/>
          <w:bCs/>
          <w:color w:val="1C1E29"/>
          <w:sz w:val="24"/>
          <w:szCs w:val="24"/>
        </w:rPr>
        <w:t xml:space="preserve">non-earnings </w:t>
      </w:r>
      <w:r w:rsidR="00F45F4E">
        <w:rPr>
          <w:rFonts w:ascii="Times New Roman" w:hAnsi="Times New Roman" w:cs="Times New Roman"/>
          <w:bCs/>
          <w:color w:val="1C1E29"/>
          <w:sz w:val="24"/>
          <w:szCs w:val="24"/>
        </w:rPr>
        <w:t xml:space="preserve">related and </w:t>
      </w:r>
      <w:r w:rsidR="000930C5" w:rsidRPr="000930C5">
        <w:rPr>
          <w:rFonts w:ascii="Times New Roman" w:hAnsi="Times New Roman" w:cs="Times New Roman"/>
          <w:bCs/>
          <w:color w:val="1C1E29"/>
          <w:sz w:val="24"/>
          <w:szCs w:val="24"/>
        </w:rPr>
        <w:t xml:space="preserve">non-financial </w:t>
      </w:r>
      <w:r w:rsidR="00F45F4E">
        <w:rPr>
          <w:rFonts w:ascii="Times New Roman" w:eastAsia="Times New Roman" w:hAnsi="Times New Roman" w:cs="Times New Roman"/>
          <w:color w:val="000000"/>
          <w:sz w:val="24"/>
          <w:szCs w:val="24"/>
        </w:rPr>
        <w:t xml:space="preserve">disclosure. </w:t>
      </w:r>
    </w:p>
    <w:p w14:paraId="002224AC" w14:textId="709EE161" w:rsidR="004D4931" w:rsidRDefault="004D4931" w:rsidP="00F45F4E">
      <w:pPr>
        <w:jc w:val="both"/>
        <w:rPr>
          <w:rFonts w:ascii="Times New Roman" w:eastAsia="Times New Roman" w:hAnsi="Times New Roman" w:cs="Times New Roman"/>
          <w:color w:val="000000"/>
          <w:sz w:val="24"/>
          <w:szCs w:val="24"/>
        </w:rPr>
      </w:pPr>
    </w:p>
    <w:p w14:paraId="1A3940AC" w14:textId="7DE35B09" w:rsidR="004D4931" w:rsidRDefault="004D4931" w:rsidP="00F45F4E">
      <w:pPr>
        <w:jc w:val="both"/>
        <w:rPr>
          <w:rFonts w:ascii="Times New Roman" w:eastAsia="Times New Roman" w:hAnsi="Times New Roman" w:cs="Times New Roman"/>
          <w:color w:val="000000"/>
          <w:sz w:val="24"/>
          <w:szCs w:val="24"/>
        </w:rPr>
      </w:pPr>
    </w:p>
    <w:p w14:paraId="16286F4B" w14:textId="77777777" w:rsidR="00F24078" w:rsidRDefault="00F24078" w:rsidP="00F45F4E">
      <w:pPr>
        <w:jc w:val="both"/>
        <w:rPr>
          <w:rFonts w:ascii="Times New Roman" w:eastAsia="Times New Roman" w:hAnsi="Times New Roman" w:cs="Times New Roman"/>
          <w:color w:val="000000"/>
          <w:sz w:val="24"/>
          <w:szCs w:val="24"/>
        </w:rPr>
      </w:pPr>
    </w:p>
    <w:p w14:paraId="5C9AACE1" w14:textId="77777777" w:rsidR="004D4931" w:rsidRPr="004D4931" w:rsidRDefault="004D4931" w:rsidP="004D4931">
      <w:pPr>
        <w:rPr>
          <w:rFonts w:ascii="Times New Roman" w:hAnsi="Times New Roman" w:cs="Times New Roman"/>
          <w:szCs w:val="24"/>
        </w:rPr>
      </w:pPr>
      <w:r w:rsidRPr="004D4931">
        <w:rPr>
          <w:rFonts w:ascii="Times New Roman" w:hAnsi="Times New Roman" w:cs="Times New Roman"/>
          <w:szCs w:val="24"/>
        </w:rPr>
        <w:t>*** the corresponding author</w:t>
      </w:r>
    </w:p>
    <w:p w14:paraId="0D7C4381" w14:textId="77777777" w:rsidR="004D4931" w:rsidRDefault="004D4931" w:rsidP="00F45F4E">
      <w:pPr>
        <w:jc w:val="both"/>
        <w:rPr>
          <w:rFonts w:ascii="Times New Roman" w:eastAsia="Times New Roman" w:hAnsi="Times New Roman" w:cs="Times New Roman"/>
          <w:color w:val="000000"/>
          <w:sz w:val="24"/>
          <w:szCs w:val="24"/>
        </w:rPr>
        <w:sectPr w:rsidR="004D4931" w:rsidSect="00F24078">
          <w:headerReference w:type="default" r:id="rId8"/>
          <w:footerReference w:type="default" r:id="rId9"/>
          <w:pgSz w:w="12240" w:h="15840"/>
          <w:pgMar w:top="1440" w:right="1440" w:bottom="1440" w:left="1440" w:header="180" w:footer="720" w:gutter="0"/>
          <w:pgBorders w:offsetFrom="page">
            <w:top w:val="single" w:sz="6" w:space="24" w:color="auto"/>
          </w:pgBorders>
          <w:cols w:space="720"/>
          <w:docGrid w:linePitch="360"/>
        </w:sectPr>
      </w:pPr>
    </w:p>
    <w:p w14:paraId="58996EC7" w14:textId="23BEFFC8" w:rsidR="00F45F4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lastRenderedPageBreak/>
        <w:t xml:space="preserve">When is Managerial Forward-Looking Voluntary Disclosure </w:t>
      </w:r>
      <w:proofErr w:type="gramStart"/>
      <w:r>
        <w:rPr>
          <w:rFonts w:ascii="Times New Roman" w:eastAsia="Times New Roman" w:hAnsi="Times New Roman" w:cs="Times New Roman"/>
          <w:b/>
          <w:color w:val="000000"/>
          <w:sz w:val="28"/>
          <w:szCs w:val="24"/>
        </w:rPr>
        <w:t>Credible</w:t>
      </w:r>
      <w:proofErr w:type="gramEnd"/>
      <w:r>
        <w:rPr>
          <w:rFonts w:ascii="Times New Roman" w:eastAsia="Times New Roman" w:hAnsi="Times New Roman" w:cs="Times New Roman"/>
          <w:b/>
          <w:color w:val="000000"/>
          <w:sz w:val="28"/>
          <w:szCs w:val="24"/>
        </w:rPr>
        <w:t xml:space="preserve"> </w:t>
      </w:r>
    </w:p>
    <w:p w14:paraId="113BB218" w14:textId="77777777" w:rsidR="00F45F4E" w:rsidRPr="000B2D5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2A6F28D5" w14:textId="6020DD2B" w:rsidR="003212BA" w:rsidRDefault="003212BA" w:rsidP="000B2D5E">
      <w:pPr>
        <w:jc w:val="center"/>
        <w:rPr>
          <w:rFonts w:ascii="Times New Roman" w:eastAsia="Times New Roman" w:hAnsi="Times New Roman" w:cs="Times New Roman"/>
          <w:b/>
          <w:color w:val="000000"/>
          <w:sz w:val="28"/>
          <w:szCs w:val="24"/>
        </w:rPr>
      </w:pPr>
    </w:p>
    <w:p w14:paraId="67D19D99" w14:textId="77777777" w:rsidR="003212BA" w:rsidRDefault="003212BA" w:rsidP="000B2D5E">
      <w:pPr>
        <w:jc w:val="center"/>
        <w:rPr>
          <w:rFonts w:ascii="Times New Roman" w:eastAsia="Times New Roman" w:hAnsi="Times New Roman" w:cs="Times New Roman"/>
          <w:b/>
          <w:color w:val="000000"/>
          <w:sz w:val="28"/>
          <w:szCs w:val="24"/>
        </w:rPr>
      </w:pPr>
    </w:p>
    <w:p w14:paraId="786A03D2" w14:textId="57438A2E" w:rsidR="003212BA" w:rsidRDefault="003212BA" w:rsidP="007F75CE">
      <w:pPr>
        <w:rPr>
          <w:rFonts w:ascii="Times New Roman" w:eastAsia="Times New Roman" w:hAnsi="Times New Roman" w:cs="Times New Roman"/>
          <w:b/>
          <w:color w:val="000000"/>
          <w:sz w:val="28"/>
          <w:szCs w:val="24"/>
        </w:rPr>
      </w:pPr>
      <w:r>
        <w:rPr>
          <w:rFonts w:ascii="Times New Roman" w:hAnsi="Times New Roman" w:cs="Times New Roman"/>
          <w:sz w:val="24"/>
          <w:szCs w:val="24"/>
        </w:rPr>
        <w:t xml:space="preserve">“…managers’ private information consists primarily of forward-looking expectations that are </w:t>
      </w:r>
      <w:r w:rsidR="00E5556E">
        <w:rPr>
          <w:rFonts w:ascii="Times New Roman" w:hAnsi="Times New Roman" w:cs="Times New Roman"/>
          <w:sz w:val="24"/>
          <w:szCs w:val="24"/>
        </w:rPr>
        <w:t>costly (perhaps infinit</w:t>
      </w:r>
      <w:r w:rsidR="007F75CE">
        <w:rPr>
          <w:rFonts w:ascii="Times New Roman" w:hAnsi="Times New Roman" w:cs="Times New Roman"/>
          <w:sz w:val="24"/>
          <w:szCs w:val="24"/>
        </w:rPr>
        <w:t xml:space="preserve">ely) to independently verify…”         </w:t>
      </w:r>
      <w:r>
        <w:rPr>
          <w:rFonts w:ascii="Times New Roman" w:hAnsi="Times New Roman" w:cs="Times New Roman"/>
          <w:sz w:val="24"/>
          <w:szCs w:val="24"/>
        </w:rPr>
        <w:t xml:space="preserve">- Ball, Jayaraman, </w:t>
      </w:r>
      <w:proofErr w:type="spellStart"/>
      <w:r>
        <w:rPr>
          <w:rFonts w:ascii="Times New Roman" w:hAnsi="Times New Roman" w:cs="Times New Roman"/>
          <w:sz w:val="24"/>
          <w:szCs w:val="24"/>
        </w:rPr>
        <w:t>Shivakumar</w:t>
      </w:r>
      <w:proofErr w:type="spellEnd"/>
      <w:r>
        <w:rPr>
          <w:rFonts w:ascii="Times New Roman" w:hAnsi="Times New Roman" w:cs="Times New Roman"/>
          <w:sz w:val="24"/>
          <w:szCs w:val="24"/>
        </w:rPr>
        <w:t xml:space="preserve"> (2012)</w:t>
      </w:r>
    </w:p>
    <w:p w14:paraId="4588FF6C" w14:textId="44C8198E" w:rsidR="00A23A37" w:rsidRDefault="00A23A37" w:rsidP="000B2D5E">
      <w:pPr>
        <w:jc w:val="center"/>
        <w:rPr>
          <w:rFonts w:ascii="Times New Roman" w:eastAsia="Times New Roman" w:hAnsi="Times New Roman" w:cs="Times New Roman"/>
          <w:b/>
          <w:color w:val="000000"/>
          <w:sz w:val="28"/>
          <w:szCs w:val="24"/>
        </w:rPr>
      </w:pPr>
    </w:p>
    <w:p w14:paraId="724360FA" w14:textId="77777777" w:rsidR="00221CBA" w:rsidRDefault="00221CBA" w:rsidP="00523E22">
      <w:pPr>
        <w:jc w:val="both"/>
        <w:rPr>
          <w:rFonts w:ascii="Times New Roman" w:hAnsi="Times New Roman" w:cs="Times New Roman"/>
          <w:b/>
          <w:sz w:val="24"/>
          <w:szCs w:val="24"/>
        </w:rPr>
      </w:pPr>
    </w:p>
    <w:p w14:paraId="60A29A26" w14:textId="782E53B6" w:rsidR="004F72BE" w:rsidRPr="00A113D1" w:rsidRDefault="002617FF" w:rsidP="000B2D5E">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4F72BE" w:rsidRPr="00A113D1">
        <w:rPr>
          <w:rFonts w:ascii="Times New Roman" w:hAnsi="Times New Roman" w:cs="Times New Roman"/>
          <w:b/>
          <w:i/>
          <w:sz w:val="24"/>
          <w:szCs w:val="24"/>
        </w:rPr>
        <w:t>I</w:t>
      </w:r>
      <w:r w:rsidR="00A113D1" w:rsidRPr="00A113D1">
        <w:rPr>
          <w:rFonts w:ascii="Times New Roman" w:hAnsi="Times New Roman" w:cs="Times New Roman"/>
          <w:b/>
          <w:i/>
          <w:sz w:val="24"/>
          <w:szCs w:val="24"/>
        </w:rPr>
        <w:t>ntroduction</w:t>
      </w:r>
    </w:p>
    <w:p w14:paraId="4633A806" w14:textId="04AD436D" w:rsidR="00A769B9" w:rsidRDefault="00E5556E" w:rsidP="003A542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meet</w:t>
      </w:r>
      <w:r>
        <w:rPr>
          <w:rFonts w:ascii="Times New Roman" w:eastAsia="Times New Roman" w:hAnsi="Times New Roman" w:cs="Times New Roman"/>
          <w:color w:val="000000"/>
          <w:sz w:val="24"/>
          <w:szCs w:val="24"/>
        </w:rPr>
        <w:t xml:space="preserve"> the market </w:t>
      </w:r>
      <w:r w:rsidR="00D63216">
        <w:rPr>
          <w:rFonts w:ascii="Times New Roman" w:eastAsia="Times New Roman" w:hAnsi="Times New Roman" w:cs="Times New Roman"/>
          <w:color w:val="000000"/>
          <w:sz w:val="24"/>
          <w:szCs w:val="24"/>
        </w:rPr>
        <w:t xml:space="preserve">information </w:t>
      </w:r>
      <w:r>
        <w:rPr>
          <w:rFonts w:ascii="Times New Roman" w:eastAsia="Times New Roman" w:hAnsi="Times New Roman" w:cs="Times New Roman"/>
          <w:color w:val="000000"/>
          <w:sz w:val="24"/>
          <w:szCs w:val="24"/>
        </w:rPr>
        <w:t xml:space="preserve">demand for the past and </w:t>
      </w:r>
      <w:r w:rsidR="00D63216">
        <w:rPr>
          <w:rFonts w:ascii="Times New Roman" w:eastAsia="Times New Roman" w:hAnsi="Times New Roman" w:cs="Times New Roman"/>
          <w:color w:val="000000"/>
          <w:sz w:val="24"/>
          <w:szCs w:val="24"/>
        </w:rPr>
        <w:t>future</w:t>
      </w:r>
      <w:r>
        <w:rPr>
          <w:rFonts w:ascii="Times New Roman" w:eastAsia="Times New Roman" w:hAnsi="Times New Roman" w:cs="Times New Roman"/>
          <w:color w:val="000000"/>
          <w:sz w:val="24"/>
          <w:szCs w:val="24"/>
        </w:rPr>
        <w:t xml:space="preserve"> firm performance, m</w:t>
      </w:r>
      <w:r w:rsidR="000B2D5E">
        <w:rPr>
          <w:rFonts w:ascii="Times New Roman" w:eastAsia="Times New Roman" w:hAnsi="Times New Roman" w:cs="Times New Roman"/>
          <w:color w:val="000000"/>
          <w:sz w:val="24"/>
          <w:szCs w:val="24"/>
        </w:rPr>
        <w:t>anagers</w:t>
      </w:r>
      <w:r w:rsidR="00EE199B">
        <w:rPr>
          <w:rFonts w:ascii="Times New Roman" w:eastAsia="Times New Roman" w:hAnsi="Times New Roman" w:cs="Times New Roman"/>
          <w:color w:val="000000"/>
          <w:sz w:val="24"/>
          <w:szCs w:val="24"/>
        </w:rPr>
        <w:t xml:space="preserve"> </w:t>
      </w:r>
      <w:r w:rsidR="00D63216">
        <w:rPr>
          <w:rFonts w:ascii="Times New Roman" w:eastAsia="Times New Roman" w:hAnsi="Times New Roman" w:cs="Times New Roman"/>
          <w:color w:val="000000"/>
          <w:sz w:val="24"/>
          <w:szCs w:val="24"/>
        </w:rPr>
        <w:t>frequently</w:t>
      </w:r>
      <w:r w:rsidR="00EE199B">
        <w:rPr>
          <w:rFonts w:ascii="Times New Roman" w:eastAsia="Times New Roman" w:hAnsi="Times New Roman" w:cs="Times New Roman"/>
          <w:color w:val="000000"/>
          <w:sz w:val="24"/>
          <w:szCs w:val="24"/>
        </w:rPr>
        <w:t xml:space="preserve"> use </w:t>
      </w:r>
      <w:r w:rsidR="007F75CE">
        <w:rPr>
          <w:rFonts w:ascii="Times New Roman" w:eastAsia="Times New Roman" w:hAnsi="Times New Roman" w:cs="Times New Roman"/>
          <w:color w:val="000000"/>
          <w:sz w:val="24"/>
          <w:szCs w:val="24"/>
        </w:rPr>
        <w:t xml:space="preserve">quarterly </w:t>
      </w:r>
      <w:r w:rsidR="00EE199B">
        <w:rPr>
          <w:rFonts w:ascii="Times New Roman" w:eastAsia="Times New Roman" w:hAnsi="Times New Roman" w:cs="Times New Roman"/>
          <w:color w:val="000000"/>
          <w:sz w:val="24"/>
          <w:szCs w:val="24"/>
        </w:rPr>
        <w:t>e</w:t>
      </w:r>
      <w:r w:rsidR="003A538D">
        <w:rPr>
          <w:rFonts w:ascii="Times New Roman" w:eastAsia="Times New Roman" w:hAnsi="Times New Roman" w:cs="Times New Roman"/>
          <w:color w:val="000000"/>
          <w:sz w:val="24"/>
          <w:szCs w:val="24"/>
        </w:rPr>
        <w:t xml:space="preserve">arnings conference calls </w:t>
      </w: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 xml:space="preserve">disclose their private, forward-looking information to </w:t>
      </w:r>
      <w:r w:rsidR="00EE199B">
        <w:rPr>
          <w:rFonts w:ascii="Times New Roman" w:eastAsia="Times New Roman" w:hAnsi="Times New Roman" w:cs="Times New Roman"/>
          <w:color w:val="000000"/>
          <w:sz w:val="24"/>
          <w:szCs w:val="24"/>
        </w:rPr>
        <w:t>a</w:t>
      </w:r>
      <w:r w:rsidR="003A538D">
        <w:rPr>
          <w:rFonts w:ascii="Times New Roman" w:eastAsia="Times New Roman" w:hAnsi="Times New Roman" w:cs="Times New Roman"/>
          <w:color w:val="000000"/>
          <w:sz w:val="24"/>
          <w:szCs w:val="24"/>
        </w:rPr>
        <w:t>nalyst</w:t>
      </w:r>
      <w:r w:rsidR="00EE199B">
        <w:rPr>
          <w:rFonts w:ascii="Times New Roman" w:eastAsia="Times New Roman" w:hAnsi="Times New Roman" w:cs="Times New Roman"/>
          <w:color w:val="000000"/>
          <w:sz w:val="24"/>
          <w:szCs w:val="24"/>
        </w:rPr>
        <w:t xml:space="preserve">s </w:t>
      </w:r>
      <w:r w:rsidR="00D63216">
        <w:rPr>
          <w:rFonts w:ascii="Times New Roman" w:eastAsia="Times New Roman" w:hAnsi="Times New Roman" w:cs="Times New Roman"/>
          <w:color w:val="000000"/>
          <w:sz w:val="24"/>
          <w:szCs w:val="24"/>
        </w:rPr>
        <w:t xml:space="preserve">and investors </w:t>
      </w:r>
      <w:r w:rsidR="003A538D">
        <w:rPr>
          <w:rFonts w:ascii="Times New Roman" w:eastAsia="Times New Roman" w:hAnsi="Times New Roman" w:cs="Times New Roman"/>
          <w:color w:val="000000"/>
          <w:sz w:val="24"/>
          <w:szCs w:val="24"/>
        </w:rPr>
        <w:t>(</w:t>
      </w:r>
      <w:r w:rsidR="00D63216">
        <w:rPr>
          <w:rFonts w:ascii="Times New Roman" w:eastAsia="Times New Roman" w:hAnsi="Times New Roman" w:cs="Times New Roman"/>
          <w:color w:val="000000"/>
          <w:sz w:val="24"/>
          <w:szCs w:val="24"/>
        </w:rPr>
        <w:t xml:space="preserve">Graham et al. 2005; </w:t>
      </w:r>
      <w:r>
        <w:rPr>
          <w:rFonts w:ascii="Times New Roman" w:eastAsia="Times New Roman" w:hAnsi="Times New Roman" w:cs="Times New Roman"/>
          <w:color w:val="000000"/>
          <w:sz w:val="24"/>
          <w:szCs w:val="24"/>
        </w:rPr>
        <w:t xml:space="preserve">Matsumoto et al. 2011; </w:t>
      </w:r>
      <w:r w:rsidR="003A538D">
        <w:rPr>
          <w:rFonts w:ascii="Times New Roman" w:eastAsia="Times New Roman" w:hAnsi="Times New Roman" w:cs="Times New Roman"/>
          <w:color w:val="000000"/>
          <w:sz w:val="24"/>
          <w:szCs w:val="24"/>
        </w:rPr>
        <w:t xml:space="preserve">Brown et al. 2015; </w:t>
      </w:r>
      <w:proofErr w:type="spellStart"/>
      <w:r w:rsidR="00D63216">
        <w:rPr>
          <w:rFonts w:ascii="Times New Roman" w:eastAsia="Times New Roman" w:hAnsi="Times New Roman" w:cs="Times New Roman"/>
          <w:color w:val="000000"/>
          <w:sz w:val="24"/>
          <w:szCs w:val="24"/>
        </w:rPr>
        <w:t>Bushee</w:t>
      </w:r>
      <w:proofErr w:type="spellEnd"/>
      <w:r w:rsidR="00D63216">
        <w:rPr>
          <w:rFonts w:ascii="Times New Roman" w:eastAsia="Times New Roman" w:hAnsi="Times New Roman" w:cs="Times New Roman"/>
          <w:color w:val="000000"/>
          <w:sz w:val="24"/>
          <w:szCs w:val="24"/>
        </w:rPr>
        <w:t xml:space="preserve"> et al. 2018; </w:t>
      </w:r>
      <w:proofErr w:type="spellStart"/>
      <w:r w:rsidR="003A538D">
        <w:rPr>
          <w:rFonts w:ascii="Times New Roman" w:eastAsia="Times New Roman" w:hAnsi="Times New Roman" w:cs="Times New Roman"/>
          <w:color w:val="000000"/>
          <w:sz w:val="24"/>
          <w:szCs w:val="24"/>
        </w:rPr>
        <w:t>Bushee</w:t>
      </w:r>
      <w:proofErr w:type="spellEnd"/>
      <w:r w:rsidR="003A538D">
        <w:rPr>
          <w:rFonts w:ascii="Times New Roman" w:eastAsia="Times New Roman" w:hAnsi="Times New Roman" w:cs="Times New Roman"/>
          <w:color w:val="000000"/>
          <w:sz w:val="24"/>
          <w:szCs w:val="24"/>
        </w:rPr>
        <w:t xml:space="preserve"> and Huang 2019)</w:t>
      </w:r>
      <w:r w:rsidR="00BD3AF0" w:rsidRPr="00E44592">
        <w:rPr>
          <w:rFonts w:ascii="Times New Roman" w:eastAsia="Times New Roman" w:hAnsi="Times New Roman" w:cs="Times New Roman"/>
          <w:color w:val="000000"/>
          <w:sz w:val="24"/>
          <w:szCs w:val="24"/>
        </w:rPr>
        <w:t xml:space="preserve">. </w:t>
      </w:r>
      <w:r w:rsidR="00F27F89" w:rsidRPr="00BE4149">
        <w:rPr>
          <w:rFonts w:ascii="Times New Roman" w:hAnsi="Times New Roman" w:cs="Times New Roman"/>
          <w:sz w:val="24"/>
          <w:szCs w:val="24"/>
        </w:rPr>
        <w:t xml:space="preserve">In this paper, </w:t>
      </w:r>
      <w:r w:rsidR="00F27F89">
        <w:rPr>
          <w:rFonts w:ascii="Times New Roman" w:hAnsi="Times New Roman" w:cs="Times New Roman"/>
          <w:sz w:val="24"/>
          <w:szCs w:val="24"/>
        </w:rPr>
        <w:t xml:space="preserve">we </w:t>
      </w:r>
      <w:r w:rsidR="008B7106">
        <w:rPr>
          <w:rFonts w:ascii="Times New Roman" w:hAnsi="Times New Roman" w:cs="Times New Roman"/>
          <w:sz w:val="24"/>
          <w:szCs w:val="24"/>
        </w:rPr>
        <w:t>test the hypothesis</w:t>
      </w:r>
      <w:r w:rsidR="00F27F89">
        <w:rPr>
          <w:rFonts w:ascii="Times New Roman" w:hAnsi="Times New Roman" w:cs="Times New Roman"/>
          <w:sz w:val="24"/>
          <w:szCs w:val="24"/>
        </w:rPr>
        <w:t xml:space="preserve"> </w:t>
      </w:r>
      <w:r w:rsidR="00C17E4D">
        <w:rPr>
          <w:rFonts w:ascii="Times New Roman" w:hAnsi="Times New Roman" w:cs="Times New Roman"/>
          <w:sz w:val="24"/>
          <w:szCs w:val="24"/>
        </w:rPr>
        <w:t>that forward-</w:t>
      </w:r>
      <w:r w:rsidR="00F27F89" w:rsidRPr="00BE4149">
        <w:rPr>
          <w:rFonts w:ascii="Times New Roman" w:hAnsi="Times New Roman" w:cs="Times New Roman"/>
          <w:sz w:val="24"/>
          <w:szCs w:val="24"/>
        </w:rPr>
        <w:t>looking statement</w:t>
      </w:r>
      <w:r w:rsidR="00D775C1">
        <w:rPr>
          <w:rFonts w:ascii="Times New Roman" w:hAnsi="Times New Roman" w:cs="Times New Roman"/>
          <w:sz w:val="24"/>
          <w:szCs w:val="24"/>
        </w:rPr>
        <w:t>s</w:t>
      </w:r>
      <w:r w:rsidR="00F27F89" w:rsidRPr="00BE4149">
        <w:rPr>
          <w:rFonts w:ascii="Times New Roman" w:hAnsi="Times New Roman" w:cs="Times New Roman"/>
          <w:sz w:val="24"/>
          <w:szCs w:val="24"/>
        </w:rPr>
        <w:t xml:space="preserve"> </w:t>
      </w:r>
      <w:r w:rsidR="008B7106">
        <w:rPr>
          <w:rFonts w:ascii="Times New Roman" w:hAnsi="Times New Roman" w:cs="Times New Roman"/>
          <w:sz w:val="24"/>
          <w:szCs w:val="24"/>
        </w:rPr>
        <w:t>are informative and credible to the market</w:t>
      </w:r>
      <w:r w:rsidR="00C17E4D">
        <w:rPr>
          <w:rFonts w:ascii="Times New Roman" w:hAnsi="Times New Roman" w:cs="Times New Roman"/>
          <w:sz w:val="24"/>
          <w:szCs w:val="24"/>
        </w:rPr>
        <w:t xml:space="preserve"> </w:t>
      </w:r>
      <w:r w:rsidR="00F27F89" w:rsidRPr="00BE4149">
        <w:rPr>
          <w:rFonts w:ascii="Times New Roman" w:hAnsi="Times New Roman" w:cs="Times New Roman"/>
          <w:sz w:val="24"/>
          <w:szCs w:val="24"/>
        </w:rPr>
        <w:t xml:space="preserve">when the firm is </w:t>
      </w:r>
      <w:r w:rsidR="00C17E4D">
        <w:rPr>
          <w:rFonts w:ascii="Times New Roman" w:hAnsi="Times New Roman" w:cs="Times New Roman"/>
          <w:sz w:val="24"/>
          <w:szCs w:val="24"/>
        </w:rPr>
        <w:t xml:space="preserve">also </w:t>
      </w:r>
      <w:r w:rsidR="00F27F89" w:rsidRPr="00BE4149">
        <w:rPr>
          <w:rFonts w:ascii="Times New Roman" w:hAnsi="Times New Roman" w:cs="Times New Roman"/>
          <w:sz w:val="24"/>
          <w:szCs w:val="24"/>
        </w:rPr>
        <w:t xml:space="preserve">practicing conservative </w:t>
      </w:r>
      <w:r w:rsidR="00D775C1">
        <w:rPr>
          <w:rFonts w:ascii="Times New Roman" w:hAnsi="Times New Roman" w:cs="Times New Roman"/>
          <w:sz w:val="24"/>
          <w:szCs w:val="24"/>
        </w:rPr>
        <w:t>financial reporting</w:t>
      </w:r>
      <w:r w:rsidR="008B7106">
        <w:rPr>
          <w:rFonts w:ascii="Times New Roman" w:hAnsi="Times New Roman" w:cs="Times New Roman"/>
          <w:sz w:val="24"/>
          <w:szCs w:val="24"/>
        </w:rPr>
        <w:t xml:space="preserve">. </w:t>
      </w:r>
      <w:r w:rsidR="003A542E" w:rsidRPr="007435F9">
        <w:rPr>
          <w:rFonts w:ascii="Times New Roman" w:hAnsi="Times New Roman" w:cs="Times New Roman"/>
          <w:sz w:val="24"/>
          <w:szCs w:val="24"/>
        </w:rPr>
        <w:t>The basic idea is that managers are encouraged to be more truthful and forward-looking</w:t>
      </w:r>
      <w:r w:rsidR="009704BE" w:rsidRPr="007435F9">
        <w:rPr>
          <w:rFonts w:ascii="Times New Roman" w:hAnsi="Times New Roman" w:cs="Times New Roman"/>
          <w:sz w:val="24"/>
          <w:szCs w:val="24"/>
        </w:rPr>
        <w:t>,</w:t>
      </w:r>
      <w:r w:rsidR="003A542E" w:rsidRPr="007435F9">
        <w:rPr>
          <w:rFonts w:ascii="Times New Roman" w:hAnsi="Times New Roman" w:cs="Times New Roman"/>
          <w:sz w:val="24"/>
          <w:szCs w:val="24"/>
        </w:rPr>
        <w:t xml:space="preserve"> when they are aware of their disclosure of private information subsequently will be verified with higher standards to recognize unrealized gains than losses.</w:t>
      </w:r>
      <w:r w:rsidR="003A542E" w:rsidRPr="00282DAC">
        <w:rPr>
          <w:rFonts w:ascii="Times New Roman" w:hAnsi="Times New Roman" w:cs="Times New Roman"/>
          <w:sz w:val="24"/>
          <w:szCs w:val="24"/>
        </w:rPr>
        <w:t xml:space="preserve"> </w:t>
      </w:r>
      <w:r w:rsidR="00424A98">
        <w:rPr>
          <w:rFonts w:ascii="Times New Roman" w:hAnsi="Times New Roman" w:cs="Times New Roman"/>
          <w:sz w:val="24"/>
          <w:szCs w:val="24"/>
        </w:rPr>
        <w:t>F</w:t>
      </w:r>
      <w:r w:rsidR="007435F9">
        <w:rPr>
          <w:rFonts w:ascii="Times New Roman" w:hAnsi="Times New Roman" w:cs="Times New Roman"/>
          <w:sz w:val="24"/>
          <w:szCs w:val="24"/>
        </w:rPr>
        <w:t xml:space="preserve">irms </w:t>
      </w:r>
      <w:r w:rsidR="00A769B9">
        <w:rPr>
          <w:rFonts w:ascii="Times New Roman" w:hAnsi="Times New Roman" w:cs="Times New Roman"/>
          <w:sz w:val="24"/>
          <w:szCs w:val="24"/>
        </w:rPr>
        <w:t>practicing</w:t>
      </w:r>
      <w:r w:rsidR="00424A98">
        <w:rPr>
          <w:rFonts w:ascii="Times New Roman" w:hAnsi="Times New Roman" w:cs="Times New Roman"/>
          <w:sz w:val="24"/>
          <w:szCs w:val="24"/>
        </w:rPr>
        <w:t xml:space="preserve"> conservative reporting </w:t>
      </w:r>
      <w:r w:rsidR="00A769B9">
        <w:rPr>
          <w:rFonts w:ascii="Times New Roman" w:hAnsi="Times New Roman" w:cs="Times New Roman"/>
          <w:sz w:val="24"/>
          <w:szCs w:val="24"/>
        </w:rPr>
        <w:t xml:space="preserve">thus </w:t>
      </w:r>
      <w:r w:rsidR="00820DCF">
        <w:rPr>
          <w:rFonts w:ascii="Times New Roman" w:hAnsi="Times New Roman" w:cs="Times New Roman"/>
          <w:sz w:val="24"/>
          <w:szCs w:val="24"/>
        </w:rPr>
        <w:t>disclose</w:t>
      </w:r>
      <w:r w:rsidR="007435F9">
        <w:rPr>
          <w:rFonts w:ascii="Times New Roman" w:eastAsia="Times New Roman" w:hAnsi="Times New Roman" w:cs="Times New Roman"/>
          <w:color w:val="000000"/>
          <w:sz w:val="24"/>
          <w:szCs w:val="24"/>
        </w:rPr>
        <w:t xml:space="preserve"> </w:t>
      </w:r>
      <w:r w:rsidR="00396939">
        <w:rPr>
          <w:rFonts w:ascii="Times New Roman" w:eastAsia="Times New Roman" w:hAnsi="Times New Roman" w:cs="Times New Roman"/>
          <w:color w:val="000000"/>
          <w:sz w:val="24"/>
          <w:szCs w:val="24"/>
        </w:rPr>
        <w:t xml:space="preserve">more of their </w:t>
      </w:r>
      <w:r w:rsidR="00A769B9">
        <w:rPr>
          <w:rFonts w:ascii="Times New Roman" w:eastAsia="Times New Roman" w:hAnsi="Times New Roman" w:cs="Times New Roman"/>
          <w:color w:val="000000"/>
          <w:sz w:val="24"/>
          <w:szCs w:val="24"/>
        </w:rPr>
        <w:t xml:space="preserve">timely, </w:t>
      </w:r>
      <w:r w:rsidR="00396939">
        <w:rPr>
          <w:rFonts w:ascii="Times New Roman" w:eastAsia="Times New Roman" w:hAnsi="Times New Roman" w:cs="Times New Roman"/>
          <w:color w:val="000000"/>
          <w:sz w:val="24"/>
          <w:szCs w:val="24"/>
        </w:rPr>
        <w:t xml:space="preserve">forward-looking </w:t>
      </w:r>
      <w:r w:rsidR="007435F9">
        <w:rPr>
          <w:rFonts w:ascii="Times New Roman" w:eastAsia="Times New Roman" w:hAnsi="Times New Roman" w:cs="Times New Roman"/>
          <w:color w:val="000000"/>
          <w:sz w:val="24"/>
          <w:szCs w:val="24"/>
        </w:rPr>
        <w:t xml:space="preserve">information, although that </w:t>
      </w:r>
      <w:r w:rsidR="00424A98">
        <w:rPr>
          <w:rFonts w:ascii="Times New Roman" w:eastAsia="Times New Roman" w:hAnsi="Times New Roman" w:cs="Times New Roman"/>
          <w:color w:val="000000"/>
          <w:sz w:val="24"/>
          <w:szCs w:val="24"/>
        </w:rPr>
        <w:t xml:space="preserve">is not directly </w:t>
      </w:r>
      <w:r w:rsidR="007435F9" w:rsidRPr="00FA59EC">
        <w:rPr>
          <w:rFonts w:ascii="Times New Roman" w:eastAsia="Times New Roman" w:hAnsi="Times New Roman" w:cs="Times New Roman"/>
          <w:color w:val="000000"/>
          <w:sz w:val="24"/>
          <w:szCs w:val="24"/>
        </w:rPr>
        <w:t>verifiable</w:t>
      </w:r>
      <w:r w:rsidR="00396939">
        <w:rPr>
          <w:rFonts w:ascii="Times New Roman" w:eastAsia="Times New Roman" w:hAnsi="Times New Roman" w:cs="Times New Roman"/>
          <w:color w:val="000000"/>
          <w:sz w:val="24"/>
          <w:szCs w:val="24"/>
        </w:rPr>
        <w:t xml:space="preserve"> </w:t>
      </w:r>
      <w:r w:rsidR="00396939" w:rsidRPr="00FA59EC">
        <w:rPr>
          <w:rFonts w:ascii="Times New Roman" w:eastAsia="Times New Roman" w:hAnsi="Times New Roman" w:cs="Times New Roman"/>
          <w:color w:val="000000"/>
          <w:sz w:val="24"/>
          <w:szCs w:val="24"/>
        </w:rPr>
        <w:t>stand-a</w:t>
      </w:r>
      <w:r w:rsidR="00396939">
        <w:rPr>
          <w:rFonts w:ascii="Times New Roman" w:eastAsia="Times New Roman" w:hAnsi="Times New Roman" w:cs="Times New Roman"/>
          <w:color w:val="000000"/>
          <w:sz w:val="24"/>
          <w:szCs w:val="24"/>
        </w:rPr>
        <w:t>lone</w:t>
      </w:r>
      <w:r w:rsidR="00424A98">
        <w:rPr>
          <w:rFonts w:ascii="Times New Roman" w:eastAsia="Times New Roman" w:hAnsi="Times New Roman" w:cs="Times New Roman"/>
          <w:color w:val="000000"/>
          <w:sz w:val="24"/>
          <w:szCs w:val="24"/>
        </w:rPr>
        <w:t xml:space="preserve"> but </w:t>
      </w:r>
      <w:r w:rsidR="00396939">
        <w:rPr>
          <w:rFonts w:ascii="Times New Roman" w:eastAsia="Times New Roman" w:hAnsi="Times New Roman" w:cs="Times New Roman"/>
          <w:color w:val="000000"/>
          <w:sz w:val="24"/>
          <w:szCs w:val="24"/>
        </w:rPr>
        <w:t>complement</w:t>
      </w:r>
      <w:r w:rsidR="00424A98">
        <w:rPr>
          <w:rFonts w:ascii="Times New Roman" w:eastAsia="Times New Roman" w:hAnsi="Times New Roman" w:cs="Times New Roman"/>
          <w:color w:val="000000"/>
          <w:sz w:val="24"/>
          <w:szCs w:val="24"/>
        </w:rPr>
        <w:t>ing</w:t>
      </w:r>
      <w:r w:rsidR="00396939">
        <w:rPr>
          <w:rFonts w:ascii="Times New Roman" w:eastAsia="Times New Roman" w:hAnsi="Times New Roman" w:cs="Times New Roman"/>
          <w:color w:val="000000"/>
          <w:sz w:val="24"/>
          <w:szCs w:val="24"/>
        </w:rPr>
        <w:t xml:space="preserve"> verifiable, conservative</w:t>
      </w:r>
      <w:r w:rsidR="00424A98">
        <w:rPr>
          <w:rFonts w:ascii="Times New Roman" w:eastAsia="Times New Roman" w:hAnsi="Times New Roman" w:cs="Times New Roman"/>
          <w:color w:val="000000"/>
          <w:sz w:val="24"/>
          <w:szCs w:val="24"/>
        </w:rPr>
        <w:t xml:space="preserve">ly reported accounting earnings. </w:t>
      </w:r>
    </w:p>
    <w:p w14:paraId="04615012" w14:textId="5D73B615" w:rsidR="00A11F82" w:rsidRPr="003A542E" w:rsidRDefault="00424A98" w:rsidP="003A542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examine </w:t>
      </w:r>
      <w:r w:rsidR="00A11F82" w:rsidRPr="00E811F4">
        <w:rPr>
          <w:rFonts w:ascii="Times New Roman" w:hAnsi="Times New Roman" w:cs="Times New Roman"/>
          <w:sz w:val="24"/>
          <w:szCs w:val="24"/>
        </w:rPr>
        <w:t xml:space="preserve">whether the </w:t>
      </w:r>
      <w:r w:rsidR="00A11F82" w:rsidRPr="00E811F4">
        <w:rPr>
          <w:rFonts w:ascii="Times New Roman" w:hAnsi="Times New Roman" w:cs="Times New Roman"/>
          <w:i/>
          <w:sz w:val="24"/>
          <w:szCs w:val="24"/>
        </w:rPr>
        <w:t xml:space="preserve">joint </w:t>
      </w:r>
      <w:r w:rsidR="00A11F82" w:rsidRPr="00E811F4">
        <w:rPr>
          <w:rFonts w:ascii="Times New Roman" w:hAnsi="Times New Roman" w:cs="Times New Roman"/>
          <w:sz w:val="24"/>
          <w:szCs w:val="24"/>
        </w:rPr>
        <w:t>effects of accounting conservatism and forward-looking statements disclosed by managers during earnings conference calls improve analysts’ and investors’ information sets.</w:t>
      </w:r>
      <w:r w:rsidR="00A11F82">
        <w:rPr>
          <w:rFonts w:ascii="Times New Roman" w:hAnsi="Times New Roman" w:cs="Times New Roman"/>
          <w:sz w:val="24"/>
          <w:szCs w:val="24"/>
        </w:rPr>
        <w:t xml:space="preserve"> </w:t>
      </w:r>
      <w:r w:rsidR="00A769B9">
        <w:rPr>
          <w:rFonts w:ascii="Times New Roman" w:hAnsi="Times New Roman" w:cs="Times New Roman"/>
          <w:sz w:val="24"/>
          <w:szCs w:val="24"/>
        </w:rPr>
        <w:t xml:space="preserve">We </w:t>
      </w:r>
      <w:r w:rsidR="00145CF7">
        <w:rPr>
          <w:rFonts w:ascii="Times New Roman" w:hAnsi="Times New Roman" w:cs="Times New Roman"/>
          <w:sz w:val="24"/>
          <w:szCs w:val="24"/>
        </w:rPr>
        <w:t xml:space="preserve">also </w:t>
      </w:r>
      <w:r w:rsidR="00A769B9">
        <w:rPr>
          <w:rFonts w:ascii="Times New Roman" w:hAnsi="Times New Roman" w:cs="Times New Roman"/>
          <w:sz w:val="24"/>
          <w:szCs w:val="24"/>
        </w:rPr>
        <w:t xml:space="preserve">examine </w:t>
      </w:r>
      <w:r w:rsidR="00BF322B">
        <w:rPr>
          <w:rFonts w:ascii="Times New Roman" w:hAnsi="Times New Roman" w:cs="Times New Roman"/>
          <w:sz w:val="24"/>
          <w:szCs w:val="24"/>
        </w:rPr>
        <w:t xml:space="preserve">whether </w:t>
      </w:r>
      <w:r w:rsidR="00DA634D">
        <w:rPr>
          <w:rFonts w:ascii="Times New Roman" w:hAnsi="Times New Roman" w:cs="Times New Roman"/>
          <w:sz w:val="24"/>
          <w:szCs w:val="24"/>
        </w:rPr>
        <w:t>verifiable, conservative</w:t>
      </w:r>
      <w:r w:rsidR="002B6E03">
        <w:rPr>
          <w:rFonts w:ascii="Times New Roman" w:hAnsi="Times New Roman" w:cs="Times New Roman"/>
          <w:sz w:val="24"/>
          <w:szCs w:val="24"/>
        </w:rPr>
        <w:t>ly reported earnings</w:t>
      </w:r>
      <w:r w:rsidR="00DA634D">
        <w:rPr>
          <w:rFonts w:ascii="Times New Roman" w:hAnsi="Times New Roman" w:cs="Times New Roman"/>
          <w:sz w:val="24"/>
          <w:szCs w:val="24"/>
        </w:rPr>
        <w:t xml:space="preserve"> </w:t>
      </w:r>
      <w:r w:rsidR="002B6E03">
        <w:rPr>
          <w:rFonts w:ascii="Times New Roman" w:hAnsi="Times New Roman" w:cs="Times New Roman"/>
          <w:sz w:val="24"/>
          <w:szCs w:val="24"/>
        </w:rPr>
        <w:t>are complements or substitutes</w:t>
      </w:r>
      <w:r w:rsidR="00DA634D">
        <w:rPr>
          <w:rFonts w:ascii="Times New Roman" w:hAnsi="Times New Roman" w:cs="Times New Roman"/>
          <w:sz w:val="24"/>
          <w:szCs w:val="24"/>
        </w:rPr>
        <w:t xml:space="preserve"> to </w:t>
      </w:r>
      <w:r w:rsidR="00BF322B">
        <w:rPr>
          <w:rFonts w:ascii="Times New Roman" w:hAnsi="Times New Roman" w:cs="Times New Roman"/>
          <w:sz w:val="24"/>
          <w:szCs w:val="24"/>
        </w:rPr>
        <w:t>unverifiable managerial forward-looking information.</w:t>
      </w:r>
      <w:r w:rsidR="002B6E03">
        <w:rPr>
          <w:rFonts w:ascii="Times New Roman" w:hAnsi="Times New Roman" w:cs="Times New Roman"/>
          <w:sz w:val="24"/>
          <w:szCs w:val="24"/>
        </w:rPr>
        <w:t xml:space="preserve"> </w:t>
      </w:r>
      <w:r w:rsidR="003A542E">
        <w:rPr>
          <w:rFonts w:ascii="Times New Roman" w:hAnsi="Times New Roman" w:cs="Times New Roman"/>
          <w:sz w:val="24"/>
          <w:szCs w:val="24"/>
        </w:rPr>
        <w:t xml:space="preserve">We find evidence that </w:t>
      </w:r>
      <w:r w:rsidR="009704BE">
        <w:rPr>
          <w:rFonts w:ascii="Times New Roman" w:hAnsi="Times New Roman" w:cs="Times New Roman"/>
          <w:sz w:val="24"/>
          <w:szCs w:val="24"/>
        </w:rPr>
        <w:t xml:space="preserve">conservative </w:t>
      </w:r>
      <w:r w:rsidR="003A542E">
        <w:rPr>
          <w:rFonts w:ascii="Times New Roman" w:hAnsi="Times New Roman" w:cs="Times New Roman"/>
          <w:sz w:val="24"/>
          <w:szCs w:val="24"/>
        </w:rPr>
        <w:t>f</w:t>
      </w:r>
      <w:r w:rsidR="003A542E" w:rsidRPr="003A542E">
        <w:rPr>
          <w:rFonts w:ascii="Times New Roman" w:hAnsi="Times New Roman" w:cs="Times New Roman"/>
          <w:sz w:val="24"/>
          <w:szCs w:val="24"/>
        </w:rPr>
        <w:t xml:space="preserve">irms </w:t>
      </w:r>
      <w:r w:rsidR="003A542E">
        <w:rPr>
          <w:rFonts w:ascii="Times New Roman" w:hAnsi="Times New Roman" w:cs="Times New Roman"/>
          <w:sz w:val="24"/>
          <w:szCs w:val="24"/>
        </w:rPr>
        <w:t xml:space="preserve">provide more positive, </w:t>
      </w:r>
      <w:r w:rsidR="003A542E" w:rsidRPr="003A542E">
        <w:rPr>
          <w:rFonts w:ascii="Times New Roman" w:hAnsi="Times New Roman" w:cs="Times New Roman"/>
          <w:sz w:val="24"/>
          <w:szCs w:val="24"/>
        </w:rPr>
        <w:t>qualitative non-earnings related, and non-financial forward-looking information in their calls.</w:t>
      </w:r>
      <w:r w:rsidR="003A542E">
        <w:rPr>
          <w:rFonts w:ascii="Times New Roman" w:hAnsi="Times New Roman" w:cs="Times New Roman"/>
          <w:sz w:val="24"/>
          <w:szCs w:val="24"/>
        </w:rPr>
        <w:t xml:space="preserve"> </w:t>
      </w:r>
      <w:r w:rsidR="003A542E" w:rsidRPr="003A542E">
        <w:rPr>
          <w:rFonts w:ascii="Times New Roman" w:hAnsi="Times New Roman" w:cs="Times New Roman"/>
          <w:sz w:val="24"/>
          <w:szCs w:val="24"/>
        </w:rPr>
        <w:t xml:space="preserve">Our results are consistent with the notion that conservative reporting enhances the information value of managerial forward-looking voluntary </w:t>
      </w:r>
      <w:r w:rsidR="003A542E" w:rsidRPr="003A542E">
        <w:rPr>
          <w:rFonts w:ascii="Times New Roman" w:hAnsi="Times New Roman" w:cs="Times New Roman"/>
          <w:sz w:val="24"/>
          <w:szCs w:val="24"/>
        </w:rPr>
        <w:lastRenderedPageBreak/>
        <w:t>disclosure. In other words, the signals of managers’ private information in the calls are complements, not substitutes.</w:t>
      </w:r>
    </w:p>
    <w:p w14:paraId="32E9499C" w14:textId="03048577" w:rsidR="00763C65" w:rsidRDefault="00770AD2" w:rsidP="0056114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Managers have a great opportunity </w:t>
      </w:r>
      <w:r w:rsidRPr="00395048">
        <w:rPr>
          <w:rFonts w:ascii="Times New Roman" w:hAnsi="Times New Roman" w:cs="Times New Roman"/>
          <w:sz w:val="24"/>
          <w:szCs w:val="24"/>
        </w:rPr>
        <w:t xml:space="preserve">to </w:t>
      </w:r>
      <w:r>
        <w:rPr>
          <w:rFonts w:ascii="Times New Roman" w:hAnsi="Times New Roman" w:cs="Times New Roman"/>
          <w:sz w:val="24"/>
          <w:szCs w:val="24"/>
        </w:rPr>
        <w:t xml:space="preserve">disclose </w:t>
      </w:r>
      <w:r w:rsidRPr="00395048">
        <w:rPr>
          <w:rFonts w:ascii="Times New Roman" w:hAnsi="Times New Roman" w:cs="Times New Roman"/>
          <w:sz w:val="24"/>
          <w:szCs w:val="24"/>
        </w:rPr>
        <w:t>their private</w:t>
      </w:r>
      <w:r>
        <w:rPr>
          <w:rFonts w:ascii="Times New Roman" w:hAnsi="Times New Roman" w:cs="Times New Roman"/>
          <w:sz w:val="24"/>
          <w:szCs w:val="24"/>
        </w:rPr>
        <w:t xml:space="preserve">, unverifiable </w:t>
      </w:r>
      <w:r w:rsidRPr="00395048">
        <w:rPr>
          <w:rFonts w:ascii="Times New Roman" w:hAnsi="Times New Roman" w:cs="Times New Roman"/>
          <w:sz w:val="24"/>
          <w:szCs w:val="24"/>
        </w:rPr>
        <w:t xml:space="preserve">forward-looking information to </w:t>
      </w:r>
      <w:r>
        <w:rPr>
          <w:rFonts w:ascii="Times New Roman" w:hAnsi="Times New Roman" w:cs="Times New Roman"/>
          <w:sz w:val="24"/>
          <w:szCs w:val="24"/>
        </w:rPr>
        <w:t xml:space="preserve">investors in earnings conference calls (Graham et al. 2005; Brown et al. 2015; </w:t>
      </w:r>
      <w:proofErr w:type="spellStart"/>
      <w:r>
        <w:rPr>
          <w:rFonts w:ascii="Times New Roman" w:hAnsi="Times New Roman" w:cs="Times New Roman"/>
          <w:sz w:val="24"/>
          <w:szCs w:val="24"/>
        </w:rPr>
        <w:t>Bushee</w:t>
      </w:r>
      <w:proofErr w:type="spellEnd"/>
      <w:r>
        <w:rPr>
          <w:rFonts w:ascii="Times New Roman" w:hAnsi="Times New Roman" w:cs="Times New Roman"/>
          <w:sz w:val="24"/>
          <w:szCs w:val="24"/>
        </w:rPr>
        <w:t xml:space="preserve"> and Huang 2019)</w:t>
      </w:r>
      <w:r w:rsidRPr="00395048">
        <w:rPr>
          <w:rFonts w:ascii="Times New Roman" w:hAnsi="Times New Roman" w:cs="Times New Roman"/>
          <w:sz w:val="24"/>
          <w:szCs w:val="24"/>
        </w:rPr>
        <w:t>.</w:t>
      </w:r>
      <w:r>
        <w:rPr>
          <w:rFonts w:ascii="Times New Roman" w:hAnsi="Times New Roman" w:cs="Times New Roman"/>
          <w:sz w:val="24"/>
          <w:szCs w:val="24"/>
        </w:rPr>
        <w:t xml:space="preserve"> Virtually, almost all (99%) the managers make at least one forwa</w:t>
      </w:r>
      <w:r w:rsidR="00D4616E">
        <w:rPr>
          <w:rFonts w:ascii="Times New Roman" w:hAnsi="Times New Roman" w:cs="Times New Roman"/>
          <w:sz w:val="24"/>
          <w:szCs w:val="24"/>
        </w:rPr>
        <w:t xml:space="preserve">rd-looking statement during conference </w:t>
      </w:r>
      <w:r>
        <w:rPr>
          <w:rFonts w:ascii="Times New Roman" w:hAnsi="Times New Roman" w:cs="Times New Roman"/>
          <w:sz w:val="24"/>
          <w:szCs w:val="24"/>
        </w:rPr>
        <w:t xml:space="preserve">calls. </w:t>
      </w:r>
      <w:r w:rsidR="003A542E">
        <w:rPr>
          <w:rFonts w:ascii="Times New Roman" w:hAnsi="Times New Roman" w:cs="Times New Roman"/>
          <w:sz w:val="24"/>
          <w:szCs w:val="24"/>
        </w:rPr>
        <w:t xml:space="preserve">As noted by Ball, Jayaraman, and </w:t>
      </w:r>
      <w:proofErr w:type="spellStart"/>
      <w:r w:rsidR="003A542E">
        <w:rPr>
          <w:rFonts w:ascii="Times New Roman" w:hAnsi="Times New Roman" w:cs="Times New Roman"/>
          <w:sz w:val="24"/>
          <w:szCs w:val="24"/>
        </w:rPr>
        <w:t>Shivakumar</w:t>
      </w:r>
      <w:proofErr w:type="spellEnd"/>
      <w:r w:rsidR="003A542E">
        <w:rPr>
          <w:rFonts w:ascii="Times New Roman" w:hAnsi="Times New Roman" w:cs="Times New Roman"/>
          <w:sz w:val="24"/>
          <w:szCs w:val="24"/>
        </w:rPr>
        <w:t xml:space="preserve"> (2012), “managers’ private information consists primarily of forward-looking expectations that are not independently verifiable…” (Ball et al. 2012, 139). </w:t>
      </w:r>
      <w:r w:rsidR="003A542E" w:rsidRPr="003A542E">
        <w:rPr>
          <w:rFonts w:ascii="Times New Roman" w:hAnsi="Times New Roman" w:cs="Times New Roman"/>
          <w:sz w:val="24"/>
          <w:szCs w:val="24"/>
        </w:rPr>
        <w:t xml:space="preserve">When managers strategically cast their private information in a more positive light (e.g., Huang, Teoh, and Zhang 2014; Tan, Wang, and Zhou 2014), regulators and investors have expressed concerns about whether managers’ forward-looking voluntary disclosures are reliable (Securities and Exchange Commission 2003; </w:t>
      </w:r>
      <w:proofErr w:type="spellStart"/>
      <w:r w:rsidR="003A542E" w:rsidRPr="003A542E">
        <w:rPr>
          <w:rFonts w:ascii="Times New Roman" w:hAnsi="Times New Roman" w:cs="Times New Roman"/>
          <w:sz w:val="24"/>
          <w:szCs w:val="24"/>
        </w:rPr>
        <w:t>Asay</w:t>
      </w:r>
      <w:proofErr w:type="spellEnd"/>
      <w:r w:rsidR="003A542E" w:rsidRPr="003A542E">
        <w:rPr>
          <w:rFonts w:ascii="Times New Roman" w:hAnsi="Times New Roman" w:cs="Times New Roman"/>
          <w:sz w:val="24"/>
          <w:szCs w:val="24"/>
        </w:rPr>
        <w:t xml:space="preserve"> and Hales 2018). </w:t>
      </w:r>
      <w:r w:rsidR="003A542E">
        <w:rPr>
          <w:rFonts w:ascii="Times New Roman" w:hAnsi="Times New Roman" w:cs="Times New Roman"/>
          <w:sz w:val="24"/>
          <w:szCs w:val="24"/>
        </w:rPr>
        <w:t>M</w:t>
      </w:r>
      <w:r>
        <w:rPr>
          <w:rFonts w:ascii="Times New Roman" w:hAnsi="Times New Roman" w:cs="Times New Roman"/>
          <w:sz w:val="24"/>
          <w:szCs w:val="24"/>
        </w:rPr>
        <w:t xml:space="preserve">anagers </w:t>
      </w:r>
      <w:r w:rsidR="003A542E">
        <w:rPr>
          <w:rFonts w:ascii="Times New Roman" w:hAnsi="Times New Roman" w:cs="Times New Roman"/>
          <w:sz w:val="24"/>
          <w:szCs w:val="24"/>
        </w:rPr>
        <w:t xml:space="preserve">appear to </w:t>
      </w:r>
      <w:r>
        <w:rPr>
          <w:rFonts w:ascii="Times New Roman" w:hAnsi="Times New Roman" w:cs="Times New Roman"/>
          <w:sz w:val="24"/>
          <w:szCs w:val="24"/>
        </w:rPr>
        <w:t>have incentives to</w:t>
      </w:r>
      <w:r w:rsidR="007B13F6">
        <w:rPr>
          <w:rFonts w:ascii="Times New Roman" w:hAnsi="Times New Roman" w:cs="Times New Roman"/>
          <w:sz w:val="24"/>
          <w:szCs w:val="24"/>
        </w:rPr>
        <w:t xml:space="preserve"> </w:t>
      </w:r>
      <w:r w:rsidR="00395048">
        <w:rPr>
          <w:rFonts w:ascii="Times New Roman" w:hAnsi="Times New Roman" w:cs="Times New Roman"/>
          <w:sz w:val="24"/>
          <w:szCs w:val="24"/>
        </w:rPr>
        <w:t>make forward-</w:t>
      </w:r>
      <w:r w:rsidR="00395048" w:rsidRPr="00BE4149">
        <w:rPr>
          <w:rFonts w:ascii="Times New Roman" w:hAnsi="Times New Roman" w:cs="Times New Roman"/>
          <w:sz w:val="24"/>
          <w:szCs w:val="24"/>
        </w:rPr>
        <w:t>look</w:t>
      </w:r>
      <w:r w:rsidR="00395048">
        <w:rPr>
          <w:rFonts w:ascii="Times New Roman" w:hAnsi="Times New Roman" w:cs="Times New Roman"/>
          <w:sz w:val="24"/>
          <w:szCs w:val="24"/>
        </w:rPr>
        <w:t xml:space="preserve">ing </w:t>
      </w:r>
      <w:r w:rsidR="00476D12">
        <w:rPr>
          <w:rFonts w:ascii="Times New Roman" w:hAnsi="Times New Roman" w:cs="Times New Roman"/>
          <w:sz w:val="24"/>
          <w:szCs w:val="24"/>
        </w:rPr>
        <w:t>projection</w:t>
      </w:r>
      <w:r w:rsidR="00E5556E">
        <w:rPr>
          <w:rFonts w:ascii="Times New Roman" w:hAnsi="Times New Roman" w:cs="Times New Roman"/>
          <w:sz w:val="24"/>
          <w:szCs w:val="24"/>
        </w:rPr>
        <w:t>s</w:t>
      </w:r>
      <w:r w:rsidR="00395048">
        <w:rPr>
          <w:rFonts w:ascii="Times New Roman" w:hAnsi="Times New Roman" w:cs="Times New Roman"/>
          <w:sz w:val="24"/>
          <w:szCs w:val="24"/>
        </w:rPr>
        <w:t xml:space="preserve"> about </w:t>
      </w:r>
      <w:r w:rsidR="00395048" w:rsidRPr="00BE4149">
        <w:rPr>
          <w:rFonts w:ascii="Times New Roman" w:hAnsi="Times New Roman" w:cs="Times New Roman"/>
          <w:sz w:val="24"/>
          <w:szCs w:val="24"/>
        </w:rPr>
        <w:t xml:space="preserve">the </w:t>
      </w:r>
      <w:r w:rsidR="00E5556E">
        <w:rPr>
          <w:rFonts w:ascii="Times New Roman" w:hAnsi="Times New Roman" w:cs="Times New Roman"/>
          <w:sz w:val="24"/>
          <w:szCs w:val="24"/>
        </w:rPr>
        <w:t xml:space="preserve">firm </w:t>
      </w:r>
      <w:r w:rsidR="00395048" w:rsidRPr="00BE4149">
        <w:rPr>
          <w:rFonts w:ascii="Times New Roman" w:hAnsi="Times New Roman" w:cs="Times New Roman"/>
          <w:sz w:val="24"/>
          <w:szCs w:val="24"/>
        </w:rPr>
        <w:t xml:space="preserve">future performance </w:t>
      </w:r>
      <w:r w:rsidR="00E5556E">
        <w:rPr>
          <w:rFonts w:ascii="Times New Roman" w:hAnsi="Times New Roman" w:cs="Times New Roman"/>
          <w:sz w:val="24"/>
          <w:szCs w:val="24"/>
        </w:rPr>
        <w:t>which</w:t>
      </w:r>
      <w:r w:rsidR="00395048" w:rsidRPr="00BE4149">
        <w:rPr>
          <w:rFonts w:ascii="Times New Roman" w:hAnsi="Times New Roman" w:cs="Times New Roman"/>
          <w:sz w:val="24"/>
          <w:szCs w:val="24"/>
        </w:rPr>
        <w:t xml:space="preserve"> may or may not eventually happen</w:t>
      </w:r>
      <w:r w:rsidR="00476D12">
        <w:rPr>
          <w:rFonts w:ascii="Times New Roman" w:hAnsi="Times New Roman" w:cs="Times New Roman"/>
          <w:sz w:val="24"/>
          <w:szCs w:val="24"/>
        </w:rPr>
        <w:t xml:space="preserve"> (</w:t>
      </w:r>
      <w:proofErr w:type="spellStart"/>
      <w:r w:rsidR="00476D12">
        <w:rPr>
          <w:rFonts w:ascii="Times New Roman" w:hAnsi="Times New Roman" w:cs="Times New Roman"/>
          <w:sz w:val="24"/>
          <w:szCs w:val="24"/>
        </w:rPr>
        <w:t>Asay</w:t>
      </w:r>
      <w:proofErr w:type="spellEnd"/>
      <w:r w:rsidR="00476D12">
        <w:rPr>
          <w:rFonts w:ascii="Times New Roman" w:hAnsi="Times New Roman" w:cs="Times New Roman"/>
          <w:sz w:val="24"/>
          <w:szCs w:val="24"/>
        </w:rPr>
        <w:t xml:space="preserve"> and Hales 2018)</w:t>
      </w:r>
      <w:r w:rsidR="00395048">
        <w:rPr>
          <w:rFonts w:ascii="Times New Roman" w:hAnsi="Times New Roman" w:cs="Times New Roman"/>
          <w:sz w:val="24"/>
          <w:szCs w:val="24"/>
        </w:rPr>
        <w:t xml:space="preserve">. </w:t>
      </w:r>
      <w:r w:rsidR="003F1806">
        <w:rPr>
          <w:rFonts w:ascii="Times New Roman" w:hAnsi="Times New Roman" w:cs="Times New Roman"/>
          <w:sz w:val="24"/>
          <w:szCs w:val="24"/>
        </w:rPr>
        <w:t>This raises the concern to protect investors’ interests</w:t>
      </w:r>
      <w:r w:rsidR="00D4616E">
        <w:rPr>
          <w:rFonts w:ascii="Times New Roman" w:hAnsi="Times New Roman" w:cs="Times New Roman"/>
          <w:sz w:val="24"/>
          <w:szCs w:val="24"/>
        </w:rPr>
        <w:t>,</w:t>
      </w:r>
      <w:r w:rsidR="003F1806">
        <w:rPr>
          <w:rFonts w:ascii="Times New Roman" w:hAnsi="Times New Roman" w:cs="Times New Roman"/>
          <w:sz w:val="24"/>
          <w:szCs w:val="24"/>
        </w:rPr>
        <w:t xml:space="preserve"> because</w:t>
      </w:r>
      <w:r w:rsidR="00DD47EB">
        <w:rPr>
          <w:rFonts w:ascii="Times New Roman" w:hAnsi="Times New Roman" w:cs="Times New Roman"/>
          <w:sz w:val="24"/>
          <w:szCs w:val="24"/>
        </w:rPr>
        <w:t xml:space="preserve"> </w:t>
      </w:r>
      <w:r w:rsidR="00E5556E">
        <w:rPr>
          <w:rFonts w:ascii="Times New Roman" w:hAnsi="Times New Roman" w:cs="Times New Roman"/>
          <w:sz w:val="24"/>
          <w:szCs w:val="24"/>
        </w:rPr>
        <w:t>false or inaccurate</w:t>
      </w:r>
      <w:r w:rsidR="0086646F">
        <w:rPr>
          <w:rFonts w:ascii="Times New Roman" w:hAnsi="Times New Roman" w:cs="Times New Roman"/>
          <w:sz w:val="24"/>
          <w:szCs w:val="24"/>
        </w:rPr>
        <w:t xml:space="preserve"> </w:t>
      </w:r>
      <w:r w:rsidR="00DD47EB">
        <w:rPr>
          <w:rFonts w:ascii="Times New Roman" w:hAnsi="Times New Roman" w:cs="Times New Roman"/>
          <w:sz w:val="24"/>
          <w:szCs w:val="24"/>
        </w:rPr>
        <w:t xml:space="preserve">forward-looking statements </w:t>
      </w:r>
      <w:r w:rsidR="0086646F">
        <w:rPr>
          <w:rFonts w:ascii="Times New Roman" w:hAnsi="Times New Roman" w:cs="Times New Roman"/>
          <w:sz w:val="24"/>
          <w:szCs w:val="24"/>
        </w:rPr>
        <w:t xml:space="preserve">can </w:t>
      </w:r>
      <w:r w:rsidR="00140C0C">
        <w:rPr>
          <w:rFonts w:ascii="Times New Roman" w:hAnsi="Times New Roman" w:cs="Times New Roman"/>
          <w:sz w:val="24"/>
          <w:szCs w:val="24"/>
        </w:rPr>
        <w:t xml:space="preserve">effectively </w:t>
      </w:r>
      <w:r w:rsidR="00E10F2E">
        <w:rPr>
          <w:rFonts w:ascii="Times New Roman" w:hAnsi="Times New Roman" w:cs="Times New Roman"/>
          <w:sz w:val="24"/>
          <w:szCs w:val="24"/>
        </w:rPr>
        <w:t>mislead investors’ judg</w:t>
      </w:r>
      <w:r w:rsidR="0086646F">
        <w:rPr>
          <w:rFonts w:ascii="Times New Roman" w:hAnsi="Times New Roman" w:cs="Times New Roman"/>
          <w:sz w:val="24"/>
          <w:szCs w:val="24"/>
        </w:rPr>
        <w:t>ment about the firm valuation</w:t>
      </w:r>
      <w:r w:rsidR="00E5556E">
        <w:rPr>
          <w:rFonts w:ascii="Times New Roman" w:hAnsi="Times New Roman" w:cs="Times New Roman"/>
          <w:sz w:val="24"/>
          <w:szCs w:val="24"/>
        </w:rPr>
        <w:t>,</w:t>
      </w:r>
      <w:r w:rsidR="0086646F">
        <w:rPr>
          <w:rFonts w:ascii="Times New Roman" w:hAnsi="Times New Roman" w:cs="Times New Roman"/>
          <w:sz w:val="24"/>
          <w:szCs w:val="24"/>
        </w:rPr>
        <w:t xml:space="preserve"> </w:t>
      </w:r>
      <w:r>
        <w:rPr>
          <w:rFonts w:ascii="Times New Roman" w:hAnsi="Times New Roman" w:cs="Times New Roman"/>
          <w:sz w:val="24"/>
          <w:szCs w:val="24"/>
        </w:rPr>
        <w:t xml:space="preserve">especially when </w:t>
      </w:r>
      <w:r w:rsidR="004423D0">
        <w:rPr>
          <w:rFonts w:ascii="Times New Roman" w:hAnsi="Times New Roman" w:cs="Times New Roman"/>
          <w:sz w:val="24"/>
          <w:szCs w:val="24"/>
        </w:rPr>
        <w:t xml:space="preserve">such </w:t>
      </w:r>
      <w:r w:rsidR="00140C0C">
        <w:rPr>
          <w:rFonts w:ascii="Times New Roman" w:hAnsi="Times New Roman" w:cs="Times New Roman"/>
          <w:sz w:val="24"/>
          <w:szCs w:val="24"/>
        </w:rPr>
        <w:t xml:space="preserve">misleading </w:t>
      </w:r>
      <w:r w:rsidR="004423D0">
        <w:rPr>
          <w:rFonts w:ascii="Times New Roman" w:hAnsi="Times New Roman" w:cs="Times New Roman"/>
          <w:sz w:val="24"/>
          <w:szCs w:val="24"/>
        </w:rPr>
        <w:t xml:space="preserve">information is </w:t>
      </w:r>
      <w:r w:rsidR="00E5556E">
        <w:rPr>
          <w:rFonts w:ascii="Times New Roman" w:hAnsi="Times New Roman" w:cs="Times New Roman"/>
          <w:sz w:val="24"/>
          <w:szCs w:val="24"/>
        </w:rPr>
        <w:t>intentionally</w:t>
      </w:r>
      <w:r w:rsidR="004423D0">
        <w:rPr>
          <w:rFonts w:ascii="Times New Roman" w:hAnsi="Times New Roman" w:cs="Times New Roman"/>
          <w:sz w:val="24"/>
          <w:szCs w:val="24"/>
        </w:rPr>
        <w:t xml:space="preserve"> </w:t>
      </w:r>
      <w:r w:rsidR="00E5556E">
        <w:rPr>
          <w:rFonts w:ascii="Times New Roman" w:hAnsi="Times New Roman" w:cs="Times New Roman"/>
          <w:sz w:val="24"/>
          <w:szCs w:val="24"/>
        </w:rPr>
        <w:t>issued by</w:t>
      </w:r>
      <w:r w:rsidR="004423D0">
        <w:rPr>
          <w:rFonts w:ascii="Times New Roman" w:hAnsi="Times New Roman" w:cs="Times New Roman"/>
          <w:sz w:val="24"/>
          <w:szCs w:val="24"/>
        </w:rPr>
        <w:t xml:space="preserve"> manage</w:t>
      </w:r>
      <w:r w:rsidR="00E5556E">
        <w:rPr>
          <w:rFonts w:ascii="Times New Roman" w:hAnsi="Times New Roman" w:cs="Times New Roman"/>
          <w:sz w:val="24"/>
          <w:szCs w:val="24"/>
        </w:rPr>
        <w:t>rs</w:t>
      </w:r>
      <w:r w:rsidR="004423D0">
        <w:rPr>
          <w:rFonts w:ascii="Times New Roman" w:hAnsi="Times New Roman" w:cs="Times New Roman"/>
          <w:sz w:val="24"/>
          <w:szCs w:val="24"/>
        </w:rPr>
        <w:t xml:space="preserve"> and unverifiable i</w:t>
      </w:r>
      <w:r w:rsidR="00FA52E6">
        <w:rPr>
          <w:rFonts w:ascii="Times New Roman" w:hAnsi="Times New Roman" w:cs="Times New Roman"/>
          <w:sz w:val="24"/>
          <w:szCs w:val="24"/>
        </w:rPr>
        <w:t>n nature (</w:t>
      </w:r>
      <w:proofErr w:type="spellStart"/>
      <w:r w:rsidR="00FA52E6">
        <w:rPr>
          <w:rFonts w:ascii="Times New Roman" w:hAnsi="Times New Roman" w:cs="Times New Roman"/>
          <w:sz w:val="24"/>
          <w:szCs w:val="24"/>
        </w:rPr>
        <w:t>Asay</w:t>
      </w:r>
      <w:proofErr w:type="spellEnd"/>
      <w:r w:rsidR="00FA52E6">
        <w:rPr>
          <w:rFonts w:ascii="Times New Roman" w:hAnsi="Times New Roman" w:cs="Times New Roman"/>
          <w:sz w:val="24"/>
          <w:szCs w:val="24"/>
        </w:rPr>
        <w:t xml:space="preserve"> and Hales 2018).</w:t>
      </w:r>
      <w:r w:rsidR="00FA52E6">
        <w:rPr>
          <w:rStyle w:val="FootnoteReference"/>
          <w:rFonts w:ascii="Times New Roman" w:hAnsi="Times New Roman" w:cs="Times New Roman"/>
          <w:sz w:val="24"/>
          <w:szCs w:val="24"/>
        </w:rPr>
        <w:footnoteReference w:id="1"/>
      </w:r>
      <w:r w:rsidR="00FA52E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6788EA6" w14:textId="3347E22B" w:rsidR="00AC42AF" w:rsidRDefault="003A542E" w:rsidP="00AC42AF">
      <w:pPr>
        <w:spacing w:line="480" w:lineRule="auto"/>
        <w:ind w:firstLine="720"/>
        <w:contextualSpacing/>
        <w:jc w:val="both"/>
        <w:rPr>
          <w:rFonts w:ascii="Times New Roman" w:hAnsi="Times New Roman" w:cs="Times New Roman"/>
          <w:sz w:val="24"/>
          <w:szCs w:val="24"/>
        </w:rPr>
      </w:pPr>
      <w:r w:rsidRPr="003A542E">
        <w:rPr>
          <w:rFonts w:ascii="Times New Roman" w:hAnsi="Times New Roman" w:cs="Times New Roman"/>
          <w:sz w:val="24"/>
          <w:szCs w:val="24"/>
        </w:rPr>
        <w:t xml:space="preserve">While incorporating unverifiable expectational information into conservatively reported earnings can decrease the reliability of the financial statements, we argue that conservatism enhances the quantity of credible forward-looking, timely private information disclosed by </w:t>
      </w:r>
      <w:r w:rsidRPr="003A542E">
        <w:rPr>
          <w:rFonts w:ascii="Times New Roman" w:hAnsi="Times New Roman" w:cs="Times New Roman"/>
          <w:sz w:val="24"/>
          <w:szCs w:val="24"/>
        </w:rPr>
        <w:lastRenderedPageBreak/>
        <w:t xml:space="preserve">managers by impacting their commitment to truthful disclosure. </w:t>
      </w:r>
      <w:r w:rsidR="003577B4">
        <w:rPr>
          <w:rFonts w:ascii="Times New Roman" w:hAnsi="Times New Roman" w:cs="Times New Roman"/>
          <w:sz w:val="24"/>
          <w:szCs w:val="24"/>
        </w:rPr>
        <w:t xml:space="preserve">Accounting conservatism helps </w:t>
      </w:r>
      <w:r w:rsidR="00E5556E">
        <w:rPr>
          <w:rFonts w:ascii="Times New Roman" w:hAnsi="Times New Roman" w:cs="Times New Roman"/>
          <w:sz w:val="24"/>
          <w:szCs w:val="24"/>
        </w:rPr>
        <w:t xml:space="preserve">to </w:t>
      </w:r>
      <w:r w:rsidR="003577B4">
        <w:rPr>
          <w:rFonts w:ascii="Times New Roman" w:hAnsi="Times New Roman" w:cs="Times New Roman"/>
          <w:sz w:val="24"/>
          <w:szCs w:val="24"/>
        </w:rPr>
        <w:t xml:space="preserve">mitigate the concerns of non-verifiable </w:t>
      </w:r>
      <w:r w:rsidR="00E86606">
        <w:rPr>
          <w:rFonts w:ascii="Times New Roman" w:hAnsi="Times New Roman" w:cs="Times New Roman"/>
          <w:sz w:val="24"/>
          <w:szCs w:val="24"/>
        </w:rPr>
        <w:t xml:space="preserve">or </w:t>
      </w:r>
      <w:r w:rsidR="00E5556E">
        <w:rPr>
          <w:rFonts w:ascii="Times New Roman" w:hAnsi="Times New Roman" w:cs="Times New Roman"/>
          <w:sz w:val="24"/>
          <w:szCs w:val="24"/>
        </w:rPr>
        <w:t xml:space="preserve">imprecise </w:t>
      </w:r>
      <w:r w:rsidR="003577B4">
        <w:rPr>
          <w:rFonts w:ascii="Times New Roman" w:hAnsi="Times New Roman" w:cs="Times New Roman"/>
          <w:sz w:val="24"/>
          <w:szCs w:val="24"/>
        </w:rPr>
        <w:t>managerial private information</w:t>
      </w:r>
      <w:r w:rsidR="002570AE">
        <w:rPr>
          <w:rFonts w:ascii="Times New Roman" w:hAnsi="Times New Roman" w:cs="Times New Roman"/>
          <w:sz w:val="24"/>
          <w:szCs w:val="24"/>
        </w:rPr>
        <w:t xml:space="preserve"> (</w:t>
      </w:r>
      <w:proofErr w:type="spellStart"/>
      <w:r w:rsidR="002570AE">
        <w:rPr>
          <w:rFonts w:ascii="Times New Roman" w:hAnsi="Times New Roman" w:cs="Times New Roman"/>
          <w:sz w:val="24"/>
          <w:szCs w:val="24"/>
        </w:rPr>
        <w:t>LaFond</w:t>
      </w:r>
      <w:proofErr w:type="spellEnd"/>
      <w:r w:rsidR="002570AE">
        <w:rPr>
          <w:rFonts w:ascii="Times New Roman" w:hAnsi="Times New Roman" w:cs="Times New Roman"/>
          <w:sz w:val="24"/>
          <w:szCs w:val="24"/>
        </w:rPr>
        <w:t xml:space="preserve"> and Watts 2008)</w:t>
      </w:r>
      <w:r w:rsidR="003577B4">
        <w:rPr>
          <w:rFonts w:ascii="Times New Roman" w:hAnsi="Times New Roman" w:cs="Times New Roman"/>
          <w:sz w:val="24"/>
          <w:szCs w:val="24"/>
        </w:rPr>
        <w:t xml:space="preserve">. </w:t>
      </w:r>
      <w:r>
        <w:rPr>
          <w:rFonts w:ascii="Times New Roman" w:hAnsi="Times New Roman" w:cs="Times New Roman"/>
          <w:sz w:val="24"/>
          <w:szCs w:val="24"/>
        </w:rPr>
        <w:t xml:space="preserve">The expectation of more conservative </w:t>
      </w:r>
      <w:r w:rsidRPr="00310DA2">
        <w:rPr>
          <w:rFonts w:ascii="Times New Roman" w:hAnsi="Times New Roman" w:cs="Times New Roman"/>
          <w:i/>
          <w:sz w:val="24"/>
          <w:szCs w:val="24"/>
        </w:rPr>
        <w:t>ex post</w:t>
      </w:r>
      <w:r>
        <w:rPr>
          <w:rFonts w:ascii="Times New Roman" w:hAnsi="Times New Roman" w:cs="Times New Roman"/>
          <w:sz w:val="24"/>
          <w:szCs w:val="24"/>
        </w:rPr>
        <w:t xml:space="preserve"> accounting practice disciplines managers to be truthful </w:t>
      </w:r>
      <w:r w:rsidRPr="00310DA2">
        <w:rPr>
          <w:rFonts w:ascii="Times New Roman" w:hAnsi="Times New Roman" w:cs="Times New Roman"/>
          <w:i/>
          <w:sz w:val="24"/>
          <w:szCs w:val="24"/>
        </w:rPr>
        <w:t>ex ante</w:t>
      </w:r>
      <w:r>
        <w:rPr>
          <w:rFonts w:ascii="Times New Roman" w:hAnsi="Times New Roman" w:cs="Times New Roman"/>
          <w:sz w:val="24"/>
          <w:szCs w:val="24"/>
        </w:rPr>
        <w:t xml:space="preserve"> in their private information disclosure. </w:t>
      </w:r>
      <w:r w:rsidR="003577B4">
        <w:rPr>
          <w:rFonts w:ascii="Times New Roman" w:hAnsi="Times New Roman" w:cs="Times New Roman"/>
          <w:sz w:val="24"/>
          <w:szCs w:val="24"/>
        </w:rPr>
        <w:t>By requiring a</w:t>
      </w:r>
      <w:r w:rsidR="00D775C1">
        <w:rPr>
          <w:rFonts w:ascii="Times New Roman" w:hAnsi="Times New Roman" w:cs="Times New Roman"/>
          <w:sz w:val="24"/>
          <w:szCs w:val="24"/>
        </w:rPr>
        <w:t xml:space="preserve"> stronger verification for recognizing unrealized gains than losses</w:t>
      </w:r>
      <w:r w:rsidR="003577B4">
        <w:rPr>
          <w:rFonts w:ascii="Times New Roman" w:hAnsi="Times New Roman" w:cs="Times New Roman"/>
          <w:sz w:val="24"/>
          <w:szCs w:val="24"/>
        </w:rPr>
        <w:t>, conservati</w:t>
      </w:r>
      <w:r w:rsidR="00E5556E">
        <w:rPr>
          <w:rFonts w:ascii="Times New Roman" w:hAnsi="Times New Roman" w:cs="Times New Roman"/>
          <w:sz w:val="24"/>
          <w:szCs w:val="24"/>
        </w:rPr>
        <w:t xml:space="preserve">ve reporting </w:t>
      </w:r>
      <w:r w:rsidR="00D775C1">
        <w:rPr>
          <w:rFonts w:ascii="Times New Roman" w:hAnsi="Times New Roman" w:cs="Times New Roman"/>
          <w:sz w:val="24"/>
          <w:szCs w:val="24"/>
        </w:rPr>
        <w:t xml:space="preserve">demands </w:t>
      </w:r>
      <w:r w:rsidR="002570AE">
        <w:rPr>
          <w:rFonts w:ascii="Times New Roman" w:hAnsi="Times New Roman" w:cs="Times New Roman"/>
          <w:sz w:val="24"/>
          <w:szCs w:val="24"/>
        </w:rPr>
        <w:t>a</w:t>
      </w:r>
      <w:r w:rsidR="00D775C1">
        <w:rPr>
          <w:rFonts w:ascii="Times New Roman" w:hAnsi="Times New Roman" w:cs="Times New Roman"/>
          <w:sz w:val="24"/>
          <w:szCs w:val="24"/>
        </w:rPr>
        <w:t xml:space="preserve"> commitment to disclosing unver</w:t>
      </w:r>
      <w:r w:rsidR="00395048">
        <w:rPr>
          <w:rFonts w:ascii="Times New Roman" w:hAnsi="Times New Roman" w:cs="Times New Roman"/>
          <w:sz w:val="24"/>
          <w:szCs w:val="24"/>
        </w:rPr>
        <w:t xml:space="preserve">ifiable information </w:t>
      </w:r>
      <w:r w:rsidR="00770AD2">
        <w:rPr>
          <w:rFonts w:ascii="Times New Roman" w:hAnsi="Times New Roman" w:cs="Times New Roman"/>
          <w:sz w:val="24"/>
          <w:szCs w:val="24"/>
        </w:rPr>
        <w:t xml:space="preserve">more </w:t>
      </w:r>
      <w:r w:rsidR="00395048">
        <w:rPr>
          <w:rFonts w:ascii="Times New Roman" w:hAnsi="Times New Roman" w:cs="Times New Roman"/>
          <w:sz w:val="24"/>
          <w:szCs w:val="24"/>
        </w:rPr>
        <w:t>truthfully</w:t>
      </w:r>
      <w:r w:rsidR="003577B4">
        <w:rPr>
          <w:rFonts w:ascii="Times New Roman" w:hAnsi="Times New Roman" w:cs="Times New Roman"/>
          <w:sz w:val="24"/>
          <w:szCs w:val="24"/>
        </w:rPr>
        <w:t xml:space="preserve"> (</w:t>
      </w:r>
      <w:proofErr w:type="spellStart"/>
      <w:r w:rsidR="002570AE">
        <w:rPr>
          <w:rFonts w:ascii="Times New Roman" w:hAnsi="Times New Roman" w:cs="Times New Roman"/>
          <w:sz w:val="24"/>
          <w:szCs w:val="24"/>
        </w:rPr>
        <w:t>LaFond</w:t>
      </w:r>
      <w:proofErr w:type="spellEnd"/>
      <w:r w:rsidR="002570AE">
        <w:rPr>
          <w:rFonts w:ascii="Times New Roman" w:hAnsi="Times New Roman" w:cs="Times New Roman"/>
          <w:sz w:val="24"/>
          <w:szCs w:val="24"/>
        </w:rPr>
        <w:t xml:space="preserve"> and Watts 2008; </w:t>
      </w:r>
      <w:r w:rsidR="003577B4" w:rsidRPr="003577B4">
        <w:rPr>
          <w:rFonts w:ascii="Times New Roman" w:hAnsi="Times New Roman" w:cs="Times New Roman"/>
          <w:sz w:val="24"/>
          <w:szCs w:val="24"/>
        </w:rPr>
        <w:t xml:space="preserve">Ball, Jayaraman and </w:t>
      </w:r>
      <w:proofErr w:type="spellStart"/>
      <w:r w:rsidR="003577B4" w:rsidRPr="003577B4">
        <w:rPr>
          <w:rFonts w:ascii="Times New Roman" w:hAnsi="Times New Roman" w:cs="Times New Roman"/>
          <w:sz w:val="24"/>
          <w:szCs w:val="24"/>
        </w:rPr>
        <w:t>Shivakumar</w:t>
      </w:r>
      <w:proofErr w:type="spellEnd"/>
      <w:r w:rsidR="003577B4" w:rsidRPr="003577B4">
        <w:rPr>
          <w:rFonts w:ascii="Times New Roman" w:hAnsi="Times New Roman" w:cs="Times New Roman"/>
          <w:sz w:val="24"/>
          <w:szCs w:val="24"/>
        </w:rPr>
        <w:t xml:space="preserve"> 2012</w:t>
      </w:r>
      <w:r w:rsidR="003577B4">
        <w:rPr>
          <w:rFonts w:ascii="Times New Roman" w:hAnsi="Times New Roman" w:cs="Times New Roman"/>
          <w:sz w:val="24"/>
          <w:szCs w:val="24"/>
        </w:rPr>
        <w:t>)</w:t>
      </w:r>
      <w:r w:rsidR="00476D12">
        <w:rPr>
          <w:rFonts w:ascii="Times New Roman" w:hAnsi="Times New Roman" w:cs="Times New Roman"/>
          <w:sz w:val="24"/>
          <w:szCs w:val="24"/>
        </w:rPr>
        <w:t>.</w:t>
      </w:r>
      <w:r w:rsidR="00E86606">
        <w:rPr>
          <w:rFonts w:ascii="Times New Roman" w:hAnsi="Times New Roman" w:cs="Times New Roman"/>
          <w:sz w:val="24"/>
          <w:szCs w:val="24"/>
        </w:rPr>
        <w:t xml:space="preserve"> </w:t>
      </w:r>
      <w:r w:rsidR="002570AE">
        <w:rPr>
          <w:rFonts w:ascii="Times New Roman" w:hAnsi="Times New Roman" w:cs="Times New Roman"/>
          <w:sz w:val="24"/>
          <w:szCs w:val="24"/>
        </w:rPr>
        <w:t>Thus, our first predic</w:t>
      </w:r>
      <w:r w:rsidR="00476D12">
        <w:rPr>
          <w:rFonts w:ascii="Times New Roman" w:hAnsi="Times New Roman" w:cs="Times New Roman"/>
          <w:sz w:val="24"/>
          <w:szCs w:val="24"/>
        </w:rPr>
        <w:t xml:space="preserve">tion is that forward-looking statements in </w:t>
      </w:r>
      <w:r w:rsidR="00E5556E">
        <w:rPr>
          <w:rFonts w:ascii="Times New Roman" w:hAnsi="Times New Roman" w:cs="Times New Roman"/>
          <w:sz w:val="24"/>
          <w:szCs w:val="24"/>
        </w:rPr>
        <w:t xml:space="preserve">earnings </w:t>
      </w:r>
      <w:r w:rsidR="00476D12">
        <w:rPr>
          <w:rFonts w:ascii="Times New Roman" w:hAnsi="Times New Roman" w:cs="Times New Roman"/>
          <w:sz w:val="24"/>
          <w:szCs w:val="24"/>
        </w:rPr>
        <w:t xml:space="preserve">conference calls and accounting conservatism </w:t>
      </w:r>
      <w:r w:rsidR="00476D12" w:rsidRPr="00476D12">
        <w:rPr>
          <w:rFonts w:ascii="Times New Roman" w:hAnsi="Times New Roman" w:cs="Times New Roman"/>
          <w:i/>
          <w:sz w:val="24"/>
          <w:szCs w:val="24"/>
        </w:rPr>
        <w:t xml:space="preserve">jointly </w:t>
      </w:r>
      <w:r w:rsidR="00476D12">
        <w:rPr>
          <w:rFonts w:ascii="Times New Roman" w:hAnsi="Times New Roman" w:cs="Times New Roman"/>
          <w:sz w:val="24"/>
          <w:szCs w:val="24"/>
        </w:rPr>
        <w:t xml:space="preserve">improve firm information environment. </w:t>
      </w:r>
    </w:p>
    <w:p w14:paraId="1321217A" w14:textId="55C6B084" w:rsidR="00EA2F46" w:rsidRPr="004A496B" w:rsidRDefault="004E4E38" w:rsidP="004A496B">
      <w:pPr>
        <w:spacing w:line="480" w:lineRule="auto"/>
        <w:ind w:firstLine="720"/>
        <w:contextualSpacing/>
        <w:jc w:val="both"/>
        <w:rPr>
          <w:rFonts w:ascii="Times New Roman" w:hAnsi="Times New Roman" w:cs="Times New Roman"/>
          <w:sz w:val="24"/>
          <w:szCs w:val="24"/>
        </w:rPr>
      </w:pPr>
      <w:r w:rsidRPr="004E4E38">
        <w:rPr>
          <w:rFonts w:ascii="Times New Roman" w:hAnsi="Times New Roman" w:cs="Times New Roman"/>
          <w:sz w:val="24"/>
          <w:szCs w:val="24"/>
        </w:rPr>
        <w:t>Although accounting conservatism reduces information asymmetry between managers and outside market participants (</w:t>
      </w:r>
      <w:r>
        <w:rPr>
          <w:rFonts w:ascii="Times New Roman" w:hAnsi="Times New Roman" w:cs="Times New Roman"/>
          <w:sz w:val="24"/>
          <w:szCs w:val="24"/>
        </w:rPr>
        <w:t xml:space="preserve">e.g., </w:t>
      </w:r>
      <w:proofErr w:type="spellStart"/>
      <w:r w:rsidRPr="004E4E38">
        <w:rPr>
          <w:rFonts w:ascii="Times New Roman" w:hAnsi="Times New Roman" w:cs="Times New Roman"/>
          <w:sz w:val="24"/>
          <w:szCs w:val="24"/>
        </w:rPr>
        <w:t>L</w:t>
      </w:r>
      <w:r w:rsidR="00E10F2E">
        <w:rPr>
          <w:rFonts w:ascii="Times New Roman" w:hAnsi="Times New Roman" w:cs="Times New Roman"/>
          <w:sz w:val="24"/>
          <w:szCs w:val="24"/>
        </w:rPr>
        <w:t>aFond</w:t>
      </w:r>
      <w:proofErr w:type="spellEnd"/>
      <w:r w:rsidR="00E10F2E">
        <w:rPr>
          <w:rFonts w:ascii="Times New Roman" w:hAnsi="Times New Roman" w:cs="Times New Roman"/>
          <w:sz w:val="24"/>
          <w:szCs w:val="24"/>
        </w:rPr>
        <w:t xml:space="preserve"> and Watts 2008), a high-</w:t>
      </w:r>
      <w:r w:rsidRPr="004E4E38">
        <w:rPr>
          <w:rFonts w:ascii="Times New Roman" w:hAnsi="Times New Roman" w:cs="Times New Roman"/>
          <w:sz w:val="24"/>
          <w:szCs w:val="24"/>
        </w:rPr>
        <w:t>quality information environment also requires greater informativeness in managerial disclosures.</w:t>
      </w:r>
      <w:r>
        <w:rPr>
          <w:rFonts w:ascii="Times New Roman" w:hAnsi="Times New Roman" w:cs="Times New Roman"/>
          <w:sz w:val="24"/>
          <w:szCs w:val="24"/>
        </w:rPr>
        <w:t xml:space="preserve"> </w:t>
      </w:r>
      <w:r w:rsidR="004A496B">
        <w:rPr>
          <w:rFonts w:ascii="Times New Roman" w:hAnsi="Times New Roman" w:cs="Times New Roman"/>
          <w:sz w:val="24"/>
          <w:szCs w:val="24"/>
        </w:rPr>
        <w:t xml:space="preserve">Our </w:t>
      </w:r>
      <w:r w:rsidR="00145CF7">
        <w:rPr>
          <w:rFonts w:ascii="Times New Roman" w:hAnsi="Times New Roman" w:cs="Times New Roman"/>
          <w:sz w:val="24"/>
          <w:szCs w:val="24"/>
        </w:rPr>
        <w:t xml:space="preserve">second </w:t>
      </w:r>
      <w:r w:rsidR="004A496B">
        <w:rPr>
          <w:rFonts w:ascii="Times New Roman" w:hAnsi="Times New Roman" w:cs="Times New Roman"/>
          <w:sz w:val="24"/>
          <w:szCs w:val="24"/>
        </w:rPr>
        <w:t>research question is an open question – does conservative reporting inc</w:t>
      </w:r>
      <w:r w:rsidR="008A0AD6">
        <w:rPr>
          <w:rFonts w:ascii="Times New Roman" w:hAnsi="Times New Roman" w:cs="Times New Roman"/>
          <w:sz w:val="24"/>
          <w:szCs w:val="24"/>
        </w:rPr>
        <w:t xml:space="preserve">rease or decrease the quantity </w:t>
      </w:r>
      <w:r w:rsidR="004A496B">
        <w:rPr>
          <w:rFonts w:ascii="Times New Roman" w:hAnsi="Times New Roman" w:cs="Times New Roman"/>
          <w:sz w:val="24"/>
          <w:szCs w:val="24"/>
        </w:rPr>
        <w:t xml:space="preserve">or contents of forward-looking disclosure managers communicates in the conference calls? On one hand, when managers </w:t>
      </w:r>
      <w:r w:rsidR="008A0AD6">
        <w:rPr>
          <w:rFonts w:ascii="Times New Roman" w:hAnsi="Times New Roman" w:cs="Times New Roman"/>
          <w:sz w:val="24"/>
          <w:szCs w:val="24"/>
        </w:rPr>
        <w:t xml:space="preserve">of conservative firms </w:t>
      </w:r>
      <w:r w:rsidR="004A496B">
        <w:rPr>
          <w:rFonts w:ascii="Times New Roman" w:hAnsi="Times New Roman" w:cs="Times New Roman"/>
          <w:sz w:val="24"/>
          <w:szCs w:val="24"/>
        </w:rPr>
        <w:t xml:space="preserve">commit to truthfully disclosing their private information </w:t>
      </w:r>
      <w:r w:rsidR="004A496B" w:rsidRPr="004A496B">
        <w:rPr>
          <w:rFonts w:ascii="Times New Roman" w:hAnsi="Times New Roman" w:cs="Times New Roman"/>
          <w:i/>
          <w:sz w:val="24"/>
          <w:szCs w:val="24"/>
        </w:rPr>
        <w:t>ex ante</w:t>
      </w:r>
      <w:r w:rsidR="004A496B">
        <w:rPr>
          <w:rFonts w:ascii="Times New Roman" w:hAnsi="Times New Roman" w:cs="Times New Roman"/>
          <w:sz w:val="24"/>
          <w:szCs w:val="24"/>
        </w:rPr>
        <w:t xml:space="preserve"> and </w:t>
      </w:r>
      <w:r w:rsidR="00AC42AF">
        <w:rPr>
          <w:rFonts w:ascii="Times New Roman" w:hAnsi="Times New Roman" w:cs="Times New Roman"/>
          <w:sz w:val="24"/>
          <w:szCs w:val="24"/>
        </w:rPr>
        <w:t xml:space="preserve">improve the firm </w:t>
      </w:r>
      <w:r w:rsidR="00AC42AF" w:rsidRPr="008A0AD6">
        <w:rPr>
          <w:rFonts w:ascii="Times New Roman" w:hAnsi="Times New Roman" w:cs="Times New Roman"/>
          <w:sz w:val="24"/>
          <w:szCs w:val="24"/>
        </w:rPr>
        <w:t>information environment,</w:t>
      </w:r>
      <w:r w:rsidR="00AC42AF">
        <w:rPr>
          <w:rFonts w:ascii="Times New Roman" w:hAnsi="Times New Roman" w:cs="Times New Roman"/>
          <w:sz w:val="24"/>
          <w:szCs w:val="24"/>
        </w:rPr>
        <w:t xml:space="preserve"> they are more likely to disclosure more credible forward-looking, timelier private information in the calls. On the other hand, if conservative reporting and management private information are substitutes to each other, managers of the firms that practice conservative reporting are less likely to provide their private forward-looking information, since conservatism may substitute for the role of management forecasts </w:t>
      </w:r>
      <w:r w:rsidR="00E601BE">
        <w:rPr>
          <w:rFonts w:ascii="Times New Roman" w:hAnsi="Times New Roman" w:cs="Times New Roman"/>
          <w:sz w:val="24"/>
          <w:szCs w:val="24"/>
        </w:rPr>
        <w:t>of</w:t>
      </w:r>
      <w:r w:rsidR="00AC42AF">
        <w:rPr>
          <w:rFonts w:ascii="Times New Roman" w:hAnsi="Times New Roman" w:cs="Times New Roman"/>
          <w:sz w:val="24"/>
          <w:szCs w:val="24"/>
        </w:rPr>
        <w:t xml:space="preserve"> the future </w:t>
      </w:r>
      <w:r w:rsidR="00E601BE">
        <w:rPr>
          <w:rFonts w:ascii="Times New Roman" w:hAnsi="Times New Roman" w:cs="Times New Roman"/>
          <w:sz w:val="24"/>
          <w:szCs w:val="24"/>
        </w:rPr>
        <w:t xml:space="preserve">earnings </w:t>
      </w:r>
      <w:r w:rsidR="00AC42AF">
        <w:rPr>
          <w:rFonts w:ascii="Times New Roman" w:hAnsi="Times New Roman" w:cs="Times New Roman"/>
          <w:sz w:val="24"/>
          <w:szCs w:val="24"/>
        </w:rPr>
        <w:t xml:space="preserve">in reducing information asymmetry (e.g., Hui et al. 2009). </w:t>
      </w:r>
    </w:p>
    <w:p w14:paraId="7E6985ED" w14:textId="2A6DF026" w:rsidR="004E4E38" w:rsidRDefault="0036020B" w:rsidP="00E2168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test our hypotheses by employing quarterly earnings conference calls between 2007 and 2016. We follow </w:t>
      </w:r>
      <w:proofErr w:type="spellStart"/>
      <w:r>
        <w:rPr>
          <w:rFonts w:ascii="Times New Roman" w:hAnsi="Times New Roman" w:cs="Times New Roman"/>
          <w:sz w:val="24"/>
          <w:szCs w:val="24"/>
        </w:rPr>
        <w:t>Bozanic</w:t>
      </w:r>
      <w:proofErr w:type="spellEnd"/>
      <w:r w:rsidR="00E601BE">
        <w:rPr>
          <w:rFonts w:ascii="Times New Roman" w:hAnsi="Times New Roman" w:cs="Times New Roman"/>
          <w:sz w:val="24"/>
          <w:szCs w:val="24"/>
        </w:rPr>
        <w:t xml:space="preserve"> et al.</w:t>
      </w:r>
      <w:r>
        <w:rPr>
          <w:rFonts w:ascii="Times New Roman" w:hAnsi="Times New Roman" w:cs="Times New Roman"/>
          <w:sz w:val="24"/>
          <w:szCs w:val="24"/>
        </w:rPr>
        <w:t xml:space="preserve"> (2018) and Li (2010)</w:t>
      </w:r>
      <w:r w:rsidR="00E601BE">
        <w:rPr>
          <w:rFonts w:ascii="Times New Roman" w:hAnsi="Times New Roman" w:cs="Times New Roman"/>
          <w:sz w:val="24"/>
          <w:szCs w:val="24"/>
        </w:rPr>
        <w:t xml:space="preserve"> in using keyword-based textual analysis </w:t>
      </w:r>
      <w:r>
        <w:rPr>
          <w:rFonts w:ascii="Times New Roman" w:hAnsi="Times New Roman" w:cs="Times New Roman"/>
          <w:sz w:val="24"/>
          <w:szCs w:val="24"/>
        </w:rPr>
        <w:lastRenderedPageBreak/>
        <w:t xml:space="preserve">to </w:t>
      </w:r>
      <w:r w:rsidR="00E601BE">
        <w:rPr>
          <w:rFonts w:ascii="Times New Roman" w:hAnsi="Times New Roman" w:cs="Times New Roman"/>
          <w:sz w:val="24"/>
          <w:szCs w:val="24"/>
        </w:rPr>
        <w:t>identify</w:t>
      </w:r>
      <w:r>
        <w:rPr>
          <w:rFonts w:ascii="Times New Roman" w:hAnsi="Times New Roman" w:cs="Times New Roman"/>
          <w:sz w:val="24"/>
          <w:szCs w:val="24"/>
        </w:rPr>
        <w:t xml:space="preserve"> forward-looking statements in the </w:t>
      </w:r>
      <w:r w:rsidR="00A12A02">
        <w:rPr>
          <w:rFonts w:ascii="Times New Roman" w:hAnsi="Times New Roman" w:cs="Times New Roman"/>
          <w:sz w:val="24"/>
          <w:szCs w:val="24"/>
        </w:rPr>
        <w:t xml:space="preserve">transcripts of the </w:t>
      </w:r>
      <w:r>
        <w:rPr>
          <w:rFonts w:ascii="Times New Roman" w:hAnsi="Times New Roman" w:cs="Times New Roman"/>
          <w:sz w:val="24"/>
          <w:szCs w:val="24"/>
        </w:rPr>
        <w:t>conference calls. To captur</w:t>
      </w:r>
      <w:r w:rsidR="00E601BE">
        <w:rPr>
          <w:rFonts w:ascii="Times New Roman" w:hAnsi="Times New Roman" w:cs="Times New Roman"/>
          <w:sz w:val="24"/>
          <w:szCs w:val="24"/>
        </w:rPr>
        <w:t>e improved information sets for analysts and investors</w:t>
      </w:r>
      <w:r>
        <w:rPr>
          <w:rFonts w:ascii="Times New Roman" w:hAnsi="Times New Roman" w:cs="Times New Roman"/>
          <w:sz w:val="24"/>
          <w:szCs w:val="24"/>
        </w:rPr>
        <w:t xml:space="preserve">, we employ the three proxies that </w:t>
      </w:r>
      <w:r w:rsidR="00E10F2E">
        <w:rPr>
          <w:rFonts w:ascii="Times New Roman" w:hAnsi="Times New Roman" w:cs="Times New Roman"/>
          <w:sz w:val="24"/>
          <w:szCs w:val="24"/>
        </w:rPr>
        <w:t xml:space="preserve">are </w:t>
      </w:r>
      <w:r>
        <w:rPr>
          <w:rFonts w:ascii="Times New Roman" w:hAnsi="Times New Roman" w:cs="Times New Roman"/>
          <w:sz w:val="24"/>
          <w:szCs w:val="24"/>
        </w:rPr>
        <w:t xml:space="preserve">commonly used in prior research: </w:t>
      </w:r>
      <w:r w:rsidR="00E601BE">
        <w:rPr>
          <w:rFonts w:ascii="Times New Roman" w:hAnsi="Times New Roman" w:cs="Times New Roman"/>
          <w:sz w:val="24"/>
          <w:szCs w:val="24"/>
        </w:rPr>
        <w:t xml:space="preserve">changes in bid-ask spread and changes in </w:t>
      </w:r>
      <w:r>
        <w:rPr>
          <w:rFonts w:ascii="Times New Roman" w:hAnsi="Times New Roman" w:cs="Times New Roman"/>
          <w:sz w:val="24"/>
          <w:szCs w:val="24"/>
        </w:rPr>
        <w:t xml:space="preserve">analyst forecast </w:t>
      </w:r>
      <w:r w:rsidR="00E601BE">
        <w:rPr>
          <w:rFonts w:ascii="Times New Roman" w:hAnsi="Times New Roman" w:cs="Times New Roman"/>
          <w:sz w:val="24"/>
          <w:szCs w:val="24"/>
        </w:rPr>
        <w:t>accuracy as well as</w:t>
      </w:r>
      <w:r>
        <w:rPr>
          <w:rFonts w:ascii="Times New Roman" w:hAnsi="Times New Roman" w:cs="Times New Roman"/>
          <w:sz w:val="24"/>
          <w:szCs w:val="24"/>
        </w:rPr>
        <w:t xml:space="preserve"> dispersion. </w:t>
      </w:r>
      <w:r w:rsidR="004E4E38">
        <w:rPr>
          <w:rFonts w:ascii="Times New Roman" w:hAnsi="Times New Roman" w:cs="Times New Roman"/>
          <w:sz w:val="24"/>
          <w:szCs w:val="24"/>
        </w:rPr>
        <w:t>W</w:t>
      </w:r>
      <w:r w:rsidR="00C72C56" w:rsidRPr="00C72C56">
        <w:rPr>
          <w:rFonts w:ascii="Times New Roman" w:hAnsi="Times New Roman" w:cs="Times New Roman"/>
          <w:sz w:val="24"/>
          <w:szCs w:val="24"/>
        </w:rPr>
        <w:t xml:space="preserve">e find that firms characterized by the combination of forward-looking disclosures </w:t>
      </w:r>
      <w:r>
        <w:rPr>
          <w:rFonts w:ascii="Times New Roman" w:hAnsi="Times New Roman" w:cs="Times New Roman"/>
          <w:sz w:val="24"/>
          <w:szCs w:val="24"/>
        </w:rPr>
        <w:t xml:space="preserve">on </w:t>
      </w:r>
      <w:r w:rsidR="00C72C56" w:rsidRPr="00C72C56">
        <w:rPr>
          <w:rFonts w:ascii="Times New Roman" w:hAnsi="Times New Roman" w:cs="Times New Roman"/>
          <w:sz w:val="24"/>
          <w:szCs w:val="24"/>
        </w:rPr>
        <w:t xml:space="preserve">the calls and accounting conservatism </w:t>
      </w:r>
      <w:r w:rsidR="00A12A02">
        <w:rPr>
          <w:rFonts w:ascii="Times New Roman" w:hAnsi="Times New Roman" w:cs="Times New Roman"/>
          <w:sz w:val="24"/>
          <w:szCs w:val="24"/>
        </w:rPr>
        <w:t xml:space="preserve">exhibit smaller bid-ask spread, </w:t>
      </w:r>
      <w:r w:rsidR="004E4E38">
        <w:rPr>
          <w:rFonts w:ascii="Times New Roman" w:hAnsi="Times New Roman" w:cs="Times New Roman"/>
          <w:sz w:val="24"/>
          <w:szCs w:val="24"/>
        </w:rPr>
        <w:t>analyst forecast errors</w:t>
      </w:r>
      <w:r w:rsidR="00A12A02">
        <w:rPr>
          <w:rFonts w:ascii="Times New Roman" w:hAnsi="Times New Roman" w:cs="Times New Roman"/>
          <w:sz w:val="24"/>
          <w:szCs w:val="24"/>
        </w:rPr>
        <w:t>,</w:t>
      </w:r>
      <w:r w:rsidR="004E4E38">
        <w:rPr>
          <w:rFonts w:ascii="Times New Roman" w:hAnsi="Times New Roman" w:cs="Times New Roman"/>
          <w:sz w:val="24"/>
          <w:szCs w:val="24"/>
        </w:rPr>
        <w:t xml:space="preserve"> and dispersion, consistent with managers of those firms </w:t>
      </w:r>
      <w:r w:rsidR="00A12A02">
        <w:rPr>
          <w:rFonts w:ascii="Times New Roman" w:hAnsi="Times New Roman" w:cs="Times New Roman"/>
          <w:sz w:val="24"/>
          <w:szCs w:val="24"/>
        </w:rPr>
        <w:t>providing private information to the market</w:t>
      </w:r>
      <w:r w:rsidR="00C72C56" w:rsidRPr="00C72C56">
        <w:rPr>
          <w:rFonts w:ascii="Times New Roman" w:hAnsi="Times New Roman" w:cs="Times New Roman"/>
          <w:sz w:val="24"/>
          <w:szCs w:val="24"/>
        </w:rPr>
        <w:t>. These results cannot be explained by past performance, litigation risk, earnings surprise</w:t>
      </w:r>
      <w:r w:rsidR="003F3D00">
        <w:rPr>
          <w:rFonts w:ascii="Times New Roman" w:hAnsi="Times New Roman" w:cs="Times New Roman"/>
          <w:sz w:val="24"/>
          <w:szCs w:val="24"/>
        </w:rPr>
        <w:t>s</w:t>
      </w:r>
      <w:r w:rsidR="00C72C56" w:rsidRPr="00C72C56">
        <w:rPr>
          <w:rFonts w:ascii="Times New Roman" w:hAnsi="Times New Roman" w:cs="Times New Roman"/>
          <w:sz w:val="24"/>
          <w:szCs w:val="24"/>
        </w:rPr>
        <w:t>, the news con</w:t>
      </w:r>
      <w:r w:rsidR="00EC21FB">
        <w:rPr>
          <w:rFonts w:ascii="Times New Roman" w:hAnsi="Times New Roman" w:cs="Times New Roman"/>
          <w:sz w:val="24"/>
          <w:szCs w:val="24"/>
        </w:rPr>
        <w:t>tent</w:t>
      </w:r>
      <w:r w:rsidR="00A12A02">
        <w:rPr>
          <w:rFonts w:ascii="Times New Roman" w:hAnsi="Times New Roman" w:cs="Times New Roman"/>
          <w:sz w:val="24"/>
          <w:szCs w:val="24"/>
        </w:rPr>
        <w:t>s</w:t>
      </w:r>
      <w:r w:rsidR="00EC21FB">
        <w:rPr>
          <w:rFonts w:ascii="Times New Roman" w:hAnsi="Times New Roman" w:cs="Times New Roman"/>
          <w:sz w:val="24"/>
          <w:szCs w:val="24"/>
        </w:rPr>
        <w:t xml:space="preserve"> in the conference calls, mangers’ </w:t>
      </w:r>
      <w:r w:rsidR="00C72C56" w:rsidRPr="00C72C56">
        <w:rPr>
          <w:rFonts w:ascii="Times New Roman" w:hAnsi="Times New Roman" w:cs="Times New Roman"/>
          <w:sz w:val="24"/>
          <w:szCs w:val="24"/>
        </w:rPr>
        <w:t>tone of the calls</w:t>
      </w:r>
      <w:r w:rsidR="00EC21FB">
        <w:rPr>
          <w:rFonts w:ascii="Times New Roman" w:hAnsi="Times New Roman" w:cs="Times New Roman"/>
          <w:sz w:val="24"/>
          <w:szCs w:val="24"/>
        </w:rPr>
        <w:t>,</w:t>
      </w:r>
      <w:r w:rsidR="00C44DA6">
        <w:rPr>
          <w:rFonts w:ascii="Times New Roman" w:hAnsi="Times New Roman" w:cs="Times New Roman"/>
          <w:sz w:val="24"/>
          <w:szCs w:val="24"/>
        </w:rPr>
        <w:t xml:space="preserve"> or their willingness to </w:t>
      </w:r>
      <w:r w:rsidR="00BB31F4">
        <w:rPr>
          <w:rFonts w:ascii="Times New Roman" w:hAnsi="Times New Roman" w:cs="Times New Roman"/>
          <w:sz w:val="24"/>
          <w:szCs w:val="24"/>
        </w:rPr>
        <w:t xml:space="preserve">provide </w:t>
      </w:r>
      <w:r w:rsidR="00EC21FB">
        <w:rPr>
          <w:rFonts w:ascii="Times New Roman" w:hAnsi="Times New Roman" w:cs="Times New Roman"/>
          <w:sz w:val="24"/>
          <w:szCs w:val="24"/>
        </w:rPr>
        <w:t>quantitative guidance</w:t>
      </w:r>
      <w:r w:rsidR="00C44DA6">
        <w:rPr>
          <w:rFonts w:ascii="Times New Roman" w:hAnsi="Times New Roman" w:cs="Times New Roman"/>
          <w:sz w:val="24"/>
          <w:szCs w:val="24"/>
        </w:rPr>
        <w:t xml:space="preserve"> or not</w:t>
      </w:r>
      <w:r w:rsidR="00C72C56" w:rsidRPr="00C72C56">
        <w:rPr>
          <w:rFonts w:ascii="Times New Roman" w:hAnsi="Times New Roman" w:cs="Times New Roman"/>
          <w:sz w:val="24"/>
          <w:szCs w:val="24"/>
        </w:rPr>
        <w:t xml:space="preserve">. Our results are robust to </w:t>
      </w:r>
      <w:r w:rsidR="004E4E38">
        <w:rPr>
          <w:rFonts w:ascii="Times New Roman" w:hAnsi="Times New Roman" w:cs="Times New Roman"/>
          <w:sz w:val="24"/>
          <w:szCs w:val="24"/>
        </w:rPr>
        <w:t>several alternative measures of</w:t>
      </w:r>
      <w:r w:rsidR="00C72C56" w:rsidRPr="00C72C56">
        <w:rPr>
          <w:rFonts w:ascii="Times New Roman" w:hAnsi="Times New Roman" w:cs="Times New Roman"/>
          <w:sz w:val="24"/>
          <w:szCs w:val="24"/>
        </w:rPr>
        <w:t xml:space="preserve"> accounting conservatism.</w:t>
      </w:r>
      <w:r w:rsidR="006A1EC5">
        <w:rPr>
          <w:rFonts w:ascii="Times New Roman" w:hAnsi="Times New Roman" w:cs="Times New Roman"/>
          <w:sz w:val="24"/>
          <w:szCs w:val="24"/>
        </w:rPr>
        <w:t xml:space="preserve"> </w:t>
      </w:r>
      <w:r w:rsidR="00D36A25">
        <w:rPr>
          <w:rFonts w:ascii="Times New Roman" w:hAnsi="Times New Roman" w:cs="Times New Roman"/>
          <w:sz w:val="24"/>
          <w:szCs w:val="24"/>
        </w:rPr>
        <w:t xml:space="preserve">In additional analyses, we also find that </w:t>
      </w:r>
      <w:r w:rsidR="004F72BE" w:rsidRPr="00C72C56">
        <w:rPr>
          <w:rFonts w:ascii="Times New Roman" w:hAnsi="Times New Roman" w:cs="Times New Roman"/>
          <w:sz w:val="24"/>
          <w:szCs w:val="24"/>
        </w:rPr>
        <w:t>our comparative stati</w:t>
      </w:r>
      <w:r w:rsidR="00BB31F4">
        <w:rPr>
          <w:rFonts w:ascii="Times New Roman" w:hAnsi="Times New Roman" w:cs="Times New Roman"/>
          <w:sz w:val="24"/>
          <w:szCs w:val="24"/>
        </w:rPr>
        <w:t>sti</w:t>
      </w:r>
      <w:r w:rsidR="004F72BE" w:rsidRPr="00C72C56">
        <w:rPr>
          <w:rFonts w:ascii="Times New Roman" w:hAnsi="Times New Roman" w:cs="Times New Roman"/>
          <w:sz w:val="24"/>
          <w:szCs w:val="24"/>
        </w:rPr>
        <w:t>cs show that the joint effect</w:t>
      </w:r>
      <w:r w:rsidR="00BB31F4">
        <w:rPr>
          <w:rFonts w:ascii="Times New Roman" w:hAnsi="Times New Roman" w:cs="Times New Roman"/>
          <w:sz w:val="24"/>
          <w:szCs w:val="24"/>
        </w:rPr>
        <w:t>s</w:t>
      </w:r>
      <w:r w:rsidR="004F72BE" w:rsidRPr="00C72C56">
        <w:rPr>
          <w:rFonts w:ascii="Times New Roman" w:hAnsi="Times New Roman" w:cs="Times New Roman"/>
          <w:sz w:val="24"/>
          <w:szCs w:val="24"/>
        </w:rPr>
        <w:t xml:space="preserve"> of </w:t>
      </w:r>
      <w:r w:rsidR="00C72C56">
        <w:rPr>
          <w:rFonts w:ascii="Times New Roman" w:hAnsi="Times New Roman" w:cs="Times New Roman"/>
          <w:sz w:val="24"/>
          <w:szCs w:val="24"/>
        </w:rPr>
        <w:t>forward-looking disclosures</w:t>
      </w:r>
      <w:r w:rsidR="004F72BE" w:rsidRPr="00C72C56">
        <w:rPr>
          <w:rFonts w:ascii="Times New Roman" w:hAnsi="Times New Roman" w:cs="Times New Roman"/>
          <w:sz w:val="24"/>
          <w:szCs w:val="24"/>
        </w:rPr>
        <w:t xml:space="preserve"> and accounting conservatism </w:t>
      </w:r>
      <w:r w:rsidR="004B7765">
        <w:rPr>
          <w:rFonts w:ascii="Times New Roman" w:hAnsi="Times New Roman" w:cs="Times New Roman"/>
          <w:sz w:val="24"/>
          <w:szCs w:val="24"/>
        </w:rPr>
        <w:t xml:space="preserve">is </w:t>
      </w:r>
      <w:r w:rsidR="004F72BE" w:rsidRPr="00C72C56">
        <w:rPr>
          <w:rFonts w:ascii="Times New Roman" w:hAnsi="Times New Roman" w:cs="Times New Roman"/>
          <w:sz w:val="24"/>
          <w:szCs w:val="24"/>
        </w:rPr>
        <w:t xml:space="preserve">stronger for firms </w:t>
      </w:r>
      <w:r w:rsidR="00C72C56">
        <w:rPr>
          <w:rFonts w:ascii="Times New Roman" w:hAnsi="Times New Roman" w:cs="Times New Roman"/>
          <w:sz w:val="24"/>
          <w:szCs w:val="24"/>
        </w:rPr>
        <w:t>wi</w:t>
      </w:r>
      <w:r w:rsidR="001D68E8">
        <w:rPr>
          <w:rFonts w:ascii="Times New Roman" w:hAnsi="Times New Roman" w:cs="Times New Roman"/>
          <w:sz w:val="24"/>
          <w:szCs w:val="24"/>
        </w:rPr>
        <w:t xml:space="preserve">th </w:t>
      </w:r>
      <w:r w:rsidR="00BB31F4">
        <w:rPr>
          <w:rFonts w:ascii="Times New Roman" w:hAnsi="Times New Roman" w:cs="Times New Roman"/>
          <w:sz w:val="24"/>
          <w:szCs w:val="24"/>
        </w:rPr>
        <w:t>more</w:t>
      </w:r>
      <w:r w:rsidR="001D68E8">
        <w:rPr>
          <w:rFonts w:ascii="Times New Roman" w:hAnsi="Times New Roman" w:cs="Times New Roman"/>
          <w:sz w:val="24"/>
          <w:szCs w:val="24"/>
        </w:rPr>
        <w:t xml:space="preserve"> R&amp;D investments, </w:t>
      </w:r>
      <w:r w:rsidR="00BB31F4">
        <w:rPr>
          <w:rFonts w:ascii="Times New Roman" w:hAnsi="Times New Roman" w:cs="Times New Roman"/>
          <w:sz w:val="24"/>
          <w:szCs w:val="24"/>
        </w:rPr>
        <w:t xml:space="preserve">higher </w:t>
      </w:r>
      <w:r w:rsidR="00C72C56">
        <w:rPr>
          <w:rFonts w:ascii="Times New Roman" w:hAnsi="Times New Roman" w:cs="Times New Roman"/>
          <w:sz w:val="24"/>
          <w:szCs w:val="24"/>
        </w:rPr>
        <w:t>growth options</w:t>
      </w:r>
      <w:r w:rsidR="00BB31F4">
        <w:rPr>
          <w:rFonts w:ascii="Times New Roman" w:hAnsi="Times New Roman" w:cs="Times New Roman"/>
          <w:sz w:val="24"/>
          <w:szCs w:val="24"/>
        </w:rPr>
        <w:t>, and</w:t>
      </w:r>
      <w:r w:rsidR="004F72BE" w:rsidRPr="00C72C56">
        <w:rPr>
          <w:rFonts w:ascii="Times New Roman" w:hAnsi="Times New Roman" w:cs="Times New Roman"/>
          <w:sz w:val="24"/>
          <w:szCs w:val="24"/>
        </w:rPr>
        <w:t xml:space="preserve"> </w:t>
      </w:r>
      <w:r w:rsidR="00BB31F4">
        <w:rPr>
          <w:rFonts w:ascii="Times New Roman" w:hAnsi="Times New Roman" w:cs="Times New Roman"/>
          <w:sz w:val="24"/>
          <w:szCs w:val="24"/>
        </w:rPr>
        <w:t xml:space="preserve">greater </w:t>
      </w:r>
      <w:r w:rsidR="001D68E8">
        <w:rPr>
          <w:rFonts w:ascii="Times New Roman" w:hAnsi="Times New Roman" w:cs="Times New Roman"/>
          <w:sz w:val="24"/>
          <w:szCs w:val="24"/>
        </w:rPr>
        <w:t xml:space="preserve">institutional ownership. </w:t>
      </w:r>
      <w:r w:rsidR="006A1EC5">
        <w:rPr>
          <w:rFonts w:ascii="Times New Roman" w:hAnsi="Times New Roman" w:cs="Times New Roman"/>
          <w:sz w:val="24"/>
          <w:szCs w:val="24"/>
        </w:rPr>
        <w:t xml:space="preserve"> </w:t>
      </w:r>
    </w:p>
    <w:p w14:paraId="0ABD2566" w14:textId="29003199" w:rsidR="00E767AD" w:rsidRPr="00E767AD" w:rsidRDefault="00E767AD" w:rsidP="00E767A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explore the causality between forward-looking disclosure and accounting conservatism, we use </w:t>
      </w:r>
      <w:r w:rsidR="00E10F2E">
        <w:rPr>
          <w:rFonts w:ascii="Times New Roman" w:hAnsi="Times New Roman" w:cs="Times New Roman"/>
          <w:sz w:val="24"/>
          <w:szCs w:val="24"/>
        </w:rPr>
        <w:t xml:space="preserve">the </w:t>
      </w:r>
      <w:r>
        <w:rPr>
          <w:rFonts w:ascii="Times New Roman" w:hAnsi="Times New Roman" w:cs="Times New Roman"/>
          <w:sz w:val="24"/>
          <w:szCs w:val="24"/>
        </w:rPr>
        <w:t>Granger causality test following the panel vector autoregression methodology developed by Holtz-Eakin et al. (1998). We find that higher conservatism Granger</w:t>
      </w:r>
      <w:r w:rsidR="006A1EC5">
        <w:rPr>
          <w:rFonts w:ascii="Times New Roman" w:hAnsi="Times New Roman" w:cs="Times New Roman"/>
          <w:sz w:val="24"/>
          <w:szCs w:val="24"/>
        </w:rPr>
        <w:t xml:space="preserve"> </w:t>
      </w:r>
      <w:r>
        <w:rPr>
          <w:rFonts w:ascii="Times New Roman" w:hAnsi="Times New Roman" w:cs="Times New Roman"/>
          <w:sz w:val="24"/>
          <w:szCs w:val="24"/>
        </w:rPr>
        <w:t xml:space="preserve">causes more forward-looking disclosure but not vice- visa. </w:t>
      </w:r>
      <w:r w:rsidR="002767F4">
        <w:rPr>
          <w:rFonts w:ascii="Times New Roman" w:hAnsi="Times New Roman" w:cs="Times New Roman"/>
          <w:sz w:val="24"/>
          <w:szCs w:val="24"/>
        </w:rPr>
        <w:t>Further, we</w:t>
      </w:r>
      <w:r>
        <w:rPr>
          <w:rFonts w:ascii="Times New Roman" w:hAnsi="Times New Roman" w:cs="Times New Roman"/>
          <w:sz w:val="24"/>
          <w:szCs w:val="24"/>
        </w:rPr>
        <w:t xml:space="preserve"> </w:t>
      </w:r>
      <w:r w:rsidR="002767F4">
        <w:rPr>
          <w:rFonts w:ascii="Times New Roman" w:hAnsi="Times New Roman" w:cs="Times New Roman"/>
          <w:sz w:val="24"/>
          <w:szCs w:val="24"/>
        </w:rPr>
        <w:t>explore by</w:t>
      </w:r>
      <w:r>
        <w:rPr>
          <w:rFonts w:ascii="Times New Roman" w:hAnsi="Times New Roman" w:cs="Times New Roman"/>
          <w:sz w:val="24"/>
          <w:szCs w:val="24"/>
        </w:rPr>
        <w:t xml:space="preserve"> </w:t>
      </w:r>
      <w:r w:rsidRPr="00E767AD">
        <w:rPr>
          <w:rFonts w:ascii="Times New Roman" w:hAnsi="Times New Roman" w:cs="Times New Roman"/>
          <w:sz w:val="24"/>
          <w:szCs w:val="24"/>
        </w:rPr>
        <w:t>classify</w:t>
      </w:r>
      <w:r w:rsidR="002767F4">
        <w:rPr>
          <w:rFonts w:ascii="Times New Roman" w:hAnsi="Times New Roman" w:cs="Times New Roman"/>
          <w:sz w:val="24"/>
          <w:szCs w:val="24"/>
        </w:rPr>
        <w:t>ing</w:t>
      </w:r>
      <w:r w:rsidRPr="00E767AD">
        <w:rPr>
          <w:rFonts w:ascii="Times New Roman" w:hAnsi="Times New Roman" w:cs="Times New Roman"/>
          <w:sz w:val="24"/>
          <w:szCs w:val="24"/>
        </w:rPr>
        <w:t xml:space="preserve"> forward-looking statements along the </w:t>
      </w:r>
      <w:r>
        <w:rPr>
          <w:rFonts w:ascii="Times New Roman" w:hAnsi="Times New Roman" w:cs="Times New Roman"/>
          <w:sz w:val="24"/>
          <w:szCs w:val="24"/>
        </w:rPr>
        <w:t xml:space="preserve">four </w:t>
      </w:r>
      <w:r w:rsidRPr="00E767AD">
        <w:rPr>
          <w:rFonts w:ascii="Times New Roman" w:hAnsi="Times New Roman" w:cs="Times New Roman"/>
          <w:sz w:val="24"/>
          <w:szCs w:val="24"/>
        </w:rPr>
        <w:t xml:space="preserve">dimensions: whether the statements </w:t>
      </w:r>
      <w:r>
        <w:rPr>
          <w:rFonts w:ascii="Times New Roman" w:hAnsi="Times New Roman" w:cs="Times New Roman"/>
          <w:sz w:val="24"/>
          <w:szCs w:val="24"/>
        </w:rPr>
        <w:t xml:space="preserve">are using positive- or negative-tone, whether </w:t>
      </w:r>
      <w:r w:rsidRPr="00E767AD">
        <w:rPr>
          <w:rFonts w:ascii="Times New Roman" w:hAnsi="Times New Roman" w:cs="Times New Roman"/>
          <w:sz w:val="24"/>
          <w:szCs w:val="24"/>
        </w:rPr>
        <w:t>or not the statements are quantitative</w:t>
      </w:r>
      <w:r>
        <w:rPr>
          <w:rFonts w:ascii="Times New Roman" w:hAnsi="Times New Roman" w:cs="Times New Roman"/>
          <w:sz w:val="24"/>
          <w:szCs w:val="24"/>
        </w:rPr>
        <w:t xml:space="preserve">, whether the statements </w:t>
      </w:r>
      <w:r w:rsidRPr="00E767AD">
        <w:rPr>
          <w:rFonts w:ascii="Times New Roman" w:hAnsi="Times New Roman" w:cs="Times New Roman"/>
          <w:sz w:val="24"/>
          <w:szCs w:val="24"/>
        </w:rPr>
        <w:t>refer explicitly to earnings (e.g., using such terms as “earnings”</w:t>
      </w:r>
      <w:r>
        <w:rPr>
          <w:rFonts w:ascii="Times New Roman" w:hAnsi="Times New Roman" w:cs="Times New Roman"/>
          <w:sz w:val="24"/>
          <w:szCs w:val="24"/>
        </w:rPr>
        <w:t xml:space="preserve"> or “profits”), and whether </w:t>
      </w:r>
      <w:r w:rsidR="006A1EC5">
        <w:rPr>
          <w:rFonts w:ascii="Times New Roman" w:hAnsi="Times New Roman" w:cs="Times New Roman"/>
          <w:sz w:val="24"/>
          <w:szCs w:val="24"/>
        </w:rPr>
        <w:t xml:space="preserve">or not </w:t>
      </w:r>
      <w:r>
        <w:rPr>
          <w:rFonts w:ascii="Times New Roman" w:hAnsi="Times New Roman" w:cs="Times New Roman"/>
          <w:sz w:val="24"/>
          <w:szCs w:val="24"/>
        </w:rPr>
        <w:t xml:space="preserve">the statements </w:t>
      </w:r>
      <w:r w:rsidR="00E10F2E">
        <w:rPr>
          <w:rFonts w:ascii="Times New Roman" w:hAnsi="Times New Roman" w:cs="Times New Roman"/>
          <w:sz w:val="24"/>
          <w:szCs w:val="24"/>
        </w:rPr>
        <w:t xml:space="preserve">are financially </w:t>
      </w:r>
      <w:r>
        <w:rPr>
          <w:rFonts w:ascii="Times New Roman" w:hAnsi="Times New Roman" w:cs="Times New Roman"/>
          <w:sz w:val="24"/>
          <w:szCs w:val="24"/>
        </w:rPr>
        <w:t xml:space="preserve">related. We find a negative relation between conservatism and negative- toned, forward-looking disclosure, consistent with prior research by Hui et al. (2009) </w:t>
      </w:r>
      <w:r w:rsidR="006A1EC5">
        <w:rPr>
          <w:rFonts w:ascii="Times New Roman" w:hAnsi="Times New Roman" w:cs="Times New Roman"/>
          <w:sz w:val="24"/>
          <w:szCs w:val="24"/>
        </w:rPr>
        <w:t xml:space="preserve">who find </w:t>
      </w:r>
      <w:r>
        <w:rPr>
          <w:rFonts w:ascii="Times New Roman" w:hAnsi="Times New Roman" w:cs="Times New Roman"/>
          <w:sz w:val="24"/>
          <w:szCs w:val="24"/>
        </w:rPr>
        <w:t xml:space="preserve">that conservatism can have a substitute effect for management </w:t>
      </w:r>
      <w:r w:rsidR="006A1EC5">
        <w:rPr>
          <w:rFonts w:ascii="Times New Roman" w:hAnsi="Times New Roman" w:cs="Times New Roman"/>
          <w:sz w:val="24"/>
          <w:szCs w:val="24"/>
        </w:rPr>
        <w:t xml:space="preserve">earnings </w:t>
      </w:r>
      <w:r>
        <w:rPr>
          <w:rFonts w:ascii="Times New Roman" w:hAnsi="Times New Roman" w:cs="Times New Roman"/>
          <w:sz w:val="24"/>
          <w:szCs w:val="24"/>
        </w:rPr>
        <w:t xml:space="preserve">forecasts. However, we find the opposite for positive- </w:t>
      </w:r>
      <w:r>
        <w:rPr>
          <w:rFonts w:ascii="Times New Roman" w:hAnsi="Times New Roman" w:cs="Times New Roman"/>
          <w:sz w:val="24"/>
          <w:szCs w:val="24"/>
        </w:rPr>
        <w:lastRenderedPageBreak/>
        <w:t xml:space="preserve">toned forward-looking </w:t>
      </w:r>
      <w:r w:rsidR="006A1EC5">
        <w:rPr>
          <w:rFonts w:ascii="Times New Roman" w:hAnsi="Times New Roman" w:cs="Times New Roman"/>
          <w:sz w:val="24"/>
          <w:szCs w:val="24"/>
        </w:rPr>
        <w:t>disclosure</w:t>
      </w:r>
      <w:r>
        <w:rPr>
          <w:rFonts w:ascii="Times New Roman" w:hAnsi="Times New Roman" w:cs="Times New Roman"/>
          <w:sz w:val="24"/>
          <w:szCs w:val="24"/>
        </w:rPr>
        <w:t xml:space="preserve">. That is, managers provide more of their private, forward-looking good news about the firm future growth to analysts and investors when conservatism is higher. </w:t>
      </w:r>
      <w:r w:rsidR="002767F4">
        <w:rPr>
          <w:rFonts w:ascii="Times New Roman" w:hAnsi="Times New Roman" w:cs="Times New Roman"/>
          <w:sz w:val="24"/>
          <w:szCs w:val="24"/>
        </w:rPr>
        <w:t>In addition, we</w:t>
      </w:r>
      <w:r>
        <w:rPr>
          <w:rFonts w:ascii="Times New Roman" w:hAnsi="Times New Roman" w:cs="Times New Roman"/>
          <w:sz w:val="24"/>
          <w:szCs w:val="24"/>
        </w:rPr>
        <w:t xml:space="preserve"> find that higher conservatism is associated with increased forward-looking statements that are non-quantitative, non-earnings related, and non-financial related. This increased disclosure would be overlooked in the typical disclosure study that uses quantitative earnings forecasts as a proxy for overall voluntary disclosure (e.g. Hui et al. 2009). Thus, the </w:t>
      </w:r>
      <w:r w:rsidRPr="00E767AD">
        <w:rPr>
          <w:rFonts w:ascii="Times New Roman" w:hAnsi="Times New Roman" w:cs="Times New Roman"/>
          <w:sz w:val="24"/>
          <w:szCs w:val="24"/>
        </w:rPr>
        <w:t xml:space="preserve">confirmation role conservatism </w:t>
      </w:r>
      <w:r>
        <w:rPr>
          <w:rFonts w:ascii="Times New Roman" w:hAnsi="Times New Roman" w:cs="Times New Roman"/>
          <w:sz w:val="24"/>
          <w:szCs w:val="24"/>
        </w:rPr>
        <w:t xml:space="preserve">plays </w:t>
      </w:r>
      <w:r w:rsidRPr="00E767AD">
        <w:rPr>
          <w:rFonts w:ascii="Times New Roman" w:hAnsi="Times New Roman" w:cs="Times New Roman"/>
          <w:sz w:val="24"/>
          <w:szCs w:val="24"/>
        </w:rPr>
        <w:t xml:space="preserve">may affect managerial voluntary disclosure strategy by allowing managers to disclose more </w:t>
      </w:r>
      <w:r>
        <w:rPr>
          <w:rFonts w:ascii="Times New Roman" w:hAnsi="Times New Roman" w:cs="Times New Roman"/>
          <w:sz w:val="24"/>
          <w:szCs w:val="24"/>
        </w:rPr>
        <w:t>credible,</w:t>
      </w:r>
      <w:r w:rsidRPr="00E767AD">
        <w:rPr>
          <w:rFonts w:ascii="Times New Roman" w:hAnsi="Times New Roman" w:cs="Times New Roman"/>
          <w:sz w:val="24"/>
          <w:szCs w:val="24"/>
        </w:rPr>
        <w:t xml:space="preserve"> forward-looking information to the market participants.</w:t>
      </w:r>
    </w:p>
    <w:p w14:paraId="39431EC0" w14:textId="465AA78D" w:rsidR="002767F4" w:rsidRDefault="00E767AD" w:rsidP="00E767AD">
      <w:pPr>
        <w:spacing w:line="480" w:lineRule="auto"/>
        <w:ind w:firstLine="720"/>
        <w:contextualSpacing/>
        <w:jc w:val="both"/>
        <w:rPr>
          <w:rFonts w:ascii="Times New Roman" w:hAnsi="Times New Roman" w:cs="Times New Roman"/>
          <w:sz w:val="24"/>
          <w:szCs w:val="24"/>
        </w:rPr>
      </w:pPr>
      <w:r w:rsidRPr="00BA1C31">
        <w:rPr>
          <w:rFonts w:ascii="Times New Roman" w:hAnsi="Times New Roman" w:cs="Times New Roman"/>
          <w:sz w:val="24"/>
          <w:szCs w:val="24"/>
        </w:rPr>
        <w:t xml:space="preserve">This paper contributes to the literature </w:t>
      </w:r>
      <w:r w:rsidR="002767F4">
        <w:rPr>
          <w:rFonts w:ascii="Times New Roman" w:hAnsi="Times New Roman" w:cs="Times New Roman"/>
          <w:sz w:val="24"/>
          <w:szCs w:val="24"/>
        </w:rPr>
        <w:t xml:space="preserve">by </w:t>
      </w:r>
      <w:r w:rsidRPr="00BA1C31">
        <w:rPr>
          <w:rFonts w:ascii="Times New Roman" w:hAnsi="Times New Roman" w:cs="Times New Roman"/>
          <w:sz w:val="24"/>
          <w:szCs w:val="24"/>
        </w:rPr>
        <w:t>studying the effect of accounting conservatism</w:t>
      </w:r>
      <w:r>
        <w:rPr>
          <w:rFonts w:ascii="Times New Roman" w:hAnsi="Times New Roman" w:cs="Times New Roman"/>
          <w:sz w:val="24"/>
          <w:szCs w:val="24"/>
        </w:rPr>
        <w:t xml:space="preserve"> and managerial voluntary disclosure</w:t>
      </w:r>
      <w:r w:rsidRPr="00BA1C31">
        <w:rPr>
          <w:rFonts w:ascii="Times New Roman" w:hAnsi="Times New Roman" w:cs="Times New Roman"/>
          <w:sz w:val="24"/>
          <w:szCs w:val="24"/>
        </w:rPr>
        <w:t xml:space="preserve"> on corporate </w:t>
      </w:r>
      <w:r>
        <w:rPr>
          <w:rFonts w:ascii="Times New Roman" w:hAnsi="Times New Roman" w:cs="Times New Roman"/>
          <w:sz w:val="24"/>
          <w:szCs w:val="24"/>
        </w:rPr>
        <w:t>information environment</w:t>
      </w:r>
      <w:r w:rsidRPr="00BA1C31">
        <w:rPr>
          <w:rFonts w:ascii="Times New Roman" w:hAnsi="Times New Roman" w:cs="Times New Roman"/>
          <w:sz w:val="24"/>
          <w:szCs w:val="24"/>
        </w:rPr>
        <w:t xml:space="preserve"> (e.g., </w:t>
      </w:r>
      <w:r>
        <w:rPr>
          <w:rFonts w:ascii="Times New Roman" w:hAnsi="Times New Roman" w:cs="Times New Roman"/>
          <w:sz w:val="24"/>
          <w:szCs w:val="24"/>
        </w:rPr>
        <w:t xml:space="preserve">Tucker and </w:t>
      </w:r>
      <w:proofErr w:type="spellStart"/>
      <w:r>
        <w:rPr>
          <w:rFonts w:ascii="Times New Roman" w:hAnsi="Times New Roman" w:cs="Times New Roman"/>
          <w:sz w:val="24"/>
          <w:szCs w:val="24"/>
        </w:rPr>
        <w:t>Zarowin</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LaFond</w:t>
      </w:r>
      <w:proofErr w:type="spellEnd"/>
      <w:r>
        <w:rPr>
          <w:rFonts w:ascii="Times New Roman" w:hAnsi="Times New Roman" w:cs="Times New Roman"/>
          <w:sz w:val="24"/>
          <w:szCs w:val="24"/>
        </w:rPr>
        <w:t xml:space="preserve"> and Watts 2008; Li 2008; Louis et al. 2008</w:t>
      </w:r>
      <w:r w:rsidRPr="00BA1C31">
        <w:rPr>
          <w:rFonts w:ascii="Times New Roman" w:hAnsi="Times New Roman" w:cs="Times New Roman"/>
          <w:sz w:val="24"/>
          <w:szCs w:val="24"/>
        </w:rPr>
        <w:t xml:space="preserve">). </w:t>
      </w:r>
      <w:r w:rsidR="002767F4">
        <w:rPr>
          <w:rFonts w:ascii="Times New Roman" w:hAnsi="Times New Roman" w:cs="Times New Roman"/>
          <w:sz w:val="24"/>
          <w:szCs w:val="24"/>
        </w:rPr>
        <w:t>Prior studies argue that information asymmetry engenders accounting conservatism (</w:t>
      </w:r>
      <w:proofErr w:type="spellStart"/>
      <w:r w:rsidR="002767F4">
        <w:rPr>
          <w:rFonts w:ascii="Times New Roman" w:hAnsi="Times New Roman" w:cs="Times New Roman"/>
          <w:sz w:val="24"/>
          <w:szCs w:val="24"/>
        </w:rPr>
        <w:t>LaFond</w:t>
      </w:r>
      <w:proofErr w:type="spellEnd"/>
      <w:r w:rsidR="002767F4">
        <w:rPr>
          <w:rFonts w:ascii="Times New Roman" w:hAnsi="Times New Roman" w:cs="Times New Roman"/>
          <w:sz w:val="24"/>
          <w:szCs w:val="24"/>
        </w:rPr>
        <w:t xml:space="preserve"> and Watts 2008). However, the prior literature finds that conservatism does not necessarily improve the information environment for outside market participants (Li 2008; Louis et al. 2008; Tucker and </w:t>
      </w:r>
      <w:proofErr w:type="spellStart"/>
      <w:r w:rsidR="002767F4">
        <w:rPr>
          <w:rFonts w:ascii="Times New Roman" w:hAnsi="Times New Roman" w:cs="Times New Roman"/>
          <w:sz w:val="24"/>
          <w:szCs w:val="24"/>
        </w:rPr>
        <w:t>Zarowin</w:t>
      </w:r>
      <w:proofErr w:type="spellEnd"/>
      <w:r w:rsidR="002767F4">
        <w:rPr>
          <w:rFonts w:ascii="Times New Roman" w:hAnsi="Times New Roman" w:cs="Times New Roman"/>
          <w:sz w:val="24"/>
          <w:szCs w:val="24"/>
        </w:rPr>
        <w:t xml:space="preserve"> 2006).</w:t>
      </w:r>
      <w:r w:rsidR="002767F4" w:rsidRPr="00E767AD">
        <w:rPr>
          <w:rFonts w:ascii="Times New Roman" w:hAnsi="Times New Roman" w:cs="Times New Roman"/>
          <w:sz w:val="24"/>
          <w:szCs w:val="24"/>
        </w:rPr>
        <w:t xml:space="preserve"> </w:t>
      </w:r>
      <w:r w:rsidR="002767F4">
        <w:rPr>
          <w:rFonts w:ascii="Times New Roman" w:hAnsi="Times New Roman" w:cs="Times New Roman"/>
          <w:sz w:val="24"/>
          <w:szCs w:val="24"/>
        </w:rPr>
        <w:t>In this paper, w</w:t>
      </w:r>
      <w:r w:rsidR="002767F4" w:rsidRPr="00BA1C31">
        <w:rPr>
          <w:rFonts w:ascii="Times New Roman" w:hAnsi="Times New Roman" w:cs="Times New Roman"/>
          <w:sz w:val="24"/>
          <w:szCs w:val="24"/>
        </w:rPr>
        <w:t xml:space="preserve">e argue that accounting conservatism mitigates </w:t>
      </w:r>
      <w:r w:rsidR="002767F4" w:rsidRPr="00217C95">
        <w:rPr>
          <w:rFonts w:ascii="Times New Roman" w:hAnsi="Times New Roman" w:cs="Times New Roman"/>
          <w:sz w:val="24"/>
          <w:szCs w:val="24"/>
        </w:rPr>
        <w:t xml:space="preserve">the non-verifiable concerns </w:t>
      </w:r>
      <w:r w:rsidR="002767F4">
        <w:rPr>
          <w:rFonts w:ascii="Times New Roman" w:hAnsi="Times New Roman" w:cs="Times New Roman"/>
          <w:sz w:val="24"/>
          <w:szCs w:val="24"/>
        </w:rPr>
        <w:t xml:space="preserve">in managerial disclosure of </w:t>
      </w:r>
      <w:r w:rsidR="002767F4" w:rsidRPr="00217C95">
        <w:rPr>
          <w:rFonts w:ascii="Times New Roman" w:hAnsi="Times New Roman" w:cs="Times New Roman"/>
          <w:sz w:val="24"/>
          <w:szCs w:val="24"/>
        </w:rPr>
        <w:t xml:space="preserve">forward-looking </w:t>
      </w:r>
      <w:r w:rsidR="002767F4">
        <w:rPr>
          <w:rFonts w:ascii="Times New Roman" w:hAnsi="Times New Roman" w:cs="Times New Roman"/>
          <w:sz w:val="24"/>
          <w:szCs w:val="24"/>
        </w:rPr>
        <w:t>information, which increases the informativeness of managerial voluntary disclosure</w:t>
      </w:r>
      <w:r w:rsidR="002767F4" w:rsidRPr="00217C95">
        <w:rPr>
          <w:rFonts w:ascii="Times New Roman" w:hAnsi="Times New Roman" w:cs="Times New Roman"/>
          <w:sz w:val="24"/>
          <w:szCs w:val="24"/>
        </w:rPr>
        <w:t>.</w:t>
      </w:r>
      <w:r w:rsidR="002767F4">
        <w:rPr>
          <w:rFonts w:ascii="Times New Roman" w:hAnsi="Times New Roman" w:cs="Times New Roman"/>
          <w:sz w:val="24"/>
          <w:szCs w:val="24"/>
        </w:rPr>
        <w:t xml:space="preserve"> We show that the </w:t>
      </w:r>
      <w:r w:rsidR="002767F4" w:rsidRPr="00E767AD">
        <w:rPr>
          <w:rFonts w:ascii="Times New Roman" w:hAnsi="Times New Roman" w:cs="Times New Roman"/>
          <w:i/>
          <w:sz w:val="24"/>
          <w:szCs w:val="24"/>
        </w:rPr>
        <w:t xml:space="preserve">joint </w:t>
      </w:r>
      <w:r w:rsidR="002767F4">
        <w:rPr>
          <w:rFonts w:ascii="Times New Roman" w:hAnsi="Times New Roman" w:cs="Times New Roman"/>
          <w:sz w:val="24"/>
          <w:szCs w:val="24"/>
        </w:rPr>
        <w:t xml:space="preserve">effects of accounting conservatism and forward-looking disclosure are the key to improve the firm information environment. </w:t>
      </w:r>
    </w:p>
    <w:p w14:paraId="2446E5B7" w14:textId="5F3CE639" w:rsidR="003F3D00" w:rsidRDefault="002767F4" w:rsidP="00E767AD">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sz w:val="24"/>
          <w:szCs w:val="24"/>
        </w:rPr>
        <w:t>Second, w</w:t>
      </w:r>
      <w:r w:rsidR="00E767AD">
        <w:rPr>
          <w:rFonts w:ascii="Times New Roman" w:hAnsi="Times New Roman" w:cs="Times New Roman"/>
          <w:sz w:val="24"/>
          <w:szCs w:val="24"/>
        </w:rPr>
        <w:t xml:space="preserve">e show the complementarity between conservative reporting and voluntary disclosure. While substitutability implies that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usefulness of conservatism depends on its stand-alone value in reducing information asymmetry between managers and the market, complementarity implies that the role of conservatism plays determines the usefulness of other </w:t>
      </w:r>
      <w:r w:rsidR="00E767AD">
        <w:rPr>
          <w:rFonts w:ascii="Times New Roman" w:hAnsi="Times New Roman" w:cs="Times New Roman"/>
          <w:sz w:val="24"/>
          <w:szCs w:val="24"/>
        </w:rPr>
        <w:lastRenderedPageBreak/>
        <w:t xml:space="preserve">information and the firm total information environment (see Ball et al. 2012). In addition,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classification of forward-looking information along with tone, quantitative/non-quantitative, earnings/non-earnings, and financial/non-financial dimensions allow us to more precisely capture how managers make the disclosure choices the way they do.   </w:t>
      </w:r>
    </w:p>
    <w:p w14:paraId="5C3AF022" w14:textId="7E6887E5" w:rsidR="00514446" w:rsidRDefault="004F72BE" w:rsidP="00E2168B">
      <w:pPr>
        <w:spacing w:line="480" w:lineRule="auto"/>
        <w:ind w:firstLine="720"/>
        <w:contextualSpacing/>
        <w:jc w:val="both"/>
        <w:rPr>
          <w:rFonts w:ascii="Times New Roman" w:hAnsi="Times New Roman" w:cs="Times New Roman"/>
          <w:sz w:val="24"/>
          <w:szCs w:val="24"/>
        </w:rPr>
      </w:pPr>
      <w:r w:rsidRPr="00B54167">
        <w:rPr>
          <w:rFonts w:ascii="Times New Roman" w:hAnsi="Times New Roman" w:cs="Times New Roman"/>
          <w:sz w:val="24"/>
          <w:szCs w:val="24"/>
        </w:rPr>
        <w:t xml:space="preserve">The remainder of the paper is organized as follows. Section </w:t>
      </w:r>
      <w:r w:rsidR="00E2168B">
        <w:rPr>
          <w:rFonts w:ascii="Times New Roman" w:hAnsi="Times New Roman" w:cs="Times New Roman"/>
          <w:sz w:val="24"/>
          <w:szCs w:val="24"/>
        </w:rPr>
        <w:t>2</w:t>
      </w:r>
      <w:r w:rsidRPr="00B54167">
        <w:rPr>
          <w:rFonts w:ascii="Times New Roman" w:hAnsi="Times New Roman" w:cs="Times New Roman"/>
          <w:sz w:val="24"/>
          <w:szCs w:val="24"/>
        </w:rPr>
        <w:t xml:space="preserve"> describes the theories and hypotheses development, Section</w:t>
      </w:r>
      <w:r>
        <w:rPr>
          <w:rFonts w:ascii="Times New Roman" w:hAnsi="Times New Roman" w:cs="Times New Roman"/>
          <w:sz w:val="24"/>
          <w:szCs w:val="24"/>
        </w:rPr>
        <w:t xml:space="preserve"> </w:t>
      </w:r>
      <w:r w:rsidR="00E2168B">
        <w:rPr>
          <w:rFonts w:ascii="Times New Roman" w:hAnsi="Times New Roman" w:cs="Times New Roman"/>
          <w:sz w:val="24"/>
          <w:szCs w:val="24"/>
        </w:rPr>
        <w:t>3</w:t>
      </w:r>
      <w:r w:rsidRPr="00B54167">
        <w:rPr>
          <w:rFonts w:ascii="Times New Roman" w:hAnsi="Times New Roman" w:cs="Times New Roman"/>
          <w:sz w:val="24"/>
          <w:szCs w:val="24"/>
        </w:rPr>
        <w:t xml:space="preserve"> outlines our research design, </w:t>
      </w:r>
      <w:r w:rsidR="00E2168B">
        <w:rPr>
          <w:rFonts w:ascii="Times New Roman" w:hAnsi="Times New Roman" w:cs="Times New Roman"/>
          <w:sz w:val="24"/>
          <w:szCs w:val="24"/>
        </w:rPr>
        <w:t xml:space="preserve">and </w:t>
      </w:r>
      <w:r w:rsidRPr="00B54167">
        <w:rPr>
          <w:rFonts w:ascii="Times New Roman" w:hAnsi="Times New Roman" w:cs="Times New Roman"/>
          <w:sz w:val="24"/>
          <w:szCs w:val="24"/>
        </w:rPr>
        <w:t xml:space="preserve">Section </w:t>
      </w:r>
      <w:r w:rsidR="00E2168B">
        <w:rPr>
          <w:rFonts w:ascii="Times New Roman" w:hAnsi="Times New Roman" w:cs="Times New Roman"/>
          <w:sz w:val="24"/>
          <w:szCs w:val="24"/>
        </w:rPr>
        <w:t>4</w:t>
      </w:r>
      <w:r w:rsidRPr="00B54167">
        <w:rPr>
          <w:rFonts w:ascii="Times New Roman" w:hAnsi="Times New Roman" w:cs="Times New Roman"/>
          <w:sz w:val="24"/>
          <w:szCs w:val="24"/>
        </w:rPr>
        <w:t xml:space="preserve"> reports our main empirical results. Section </w:t>
      </w:r>
      <w:r w:rsidR="00E2168B">
        <w:rPr>
          <w:rFonts w:ascii="Times New Roman" w:hAnsi="Times New Roman" w:cs="Times New Roman"/>
          <w:sz w:val="24"/>
          <w:szCs w:val="24"/>
        </w:rPr>
        <w:t>5</w:t>
      </w:r>
      <w:r w:rsidRPr="00B54167">
        <w:rPr>
          <w:rFonts w:ascii="Times New Roman" w:hAnsi="Times New Roman" w:cs="Times New Roman"/>
          <w:sz w:val="24"/>
          <w:szCs w:val="24"/>
        </w:rPr>
        <w:t xml:space="preserve"> concludes the paper.</w:t>
      </w:r>
    </w:p>
    <w:p w14:paraId="7D79315F" w14:textId="77777777" w:rsidR="00E2168B" w:rsidRDefault="00E2168B" w:rsidP="00E2168B">
      <w:pPr>
        <w:spacing w:line="480" w:lineRule="auto"/>
        <w:ind w:firstLine="720"/>
        <w:contextualSpacing/>
        <w:jc w:val="both"/>
        <w:rPr>
          <w:rFonts w:ascii="Times New Roman" w:hAnsi="Times New Roman" w:cs="Times New Roman"/>
          <w:sz w:val="24"/>
          <w:szCs w:val="24"/>
        </w:rPr>
      </w:pPr>
    </w:p>
    <w:p w14:paraId="10535DC7" w14:textId="624AA998" w:rsidR="00A113D1" w:rsidRPr="00A113D1" w:rsidRDefault="00E70D81" w:rsidP="00100581">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A113D1" w:rsidRPr="00A113D1">
        <w:rPr>
          <w:rFonts w:ascii="Times New Roman" w:hAnsi="Times New Roman" w:cs="Times New Roman"/>
          <w:b/>
          <w:i/>
          <w:sz w:val="24"/>
          <w:szCs w:val="24"/>
        </w:rPr>
        <w:t>Prior Literature and Hypothesis Development</w:t>
      </w:r>
    </w:p>
    <w:p w14:paraId="2E9B0382" w14:textId="12BE4068" w:rsidR="00514446" w:rsidRPr="00514446" w:rsidRDefault="00A113D1" w:rsidP="00514446">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2.1 </w:t>
      </w:r>
      <w:r w:rsidR="00514446" w:rsidRPr="00514446">
        <w:rPr>
          <w:rFonts w:ascii="Times New Roman" w:hAnsi="Times New Roman" w:cs="Times New Roman"/>
          <w:b/>
          <w:bCs/>
          <w:color w:val="1C1E29"/>
          <w:sz w:val="24"/>
          <w:szCs w:val="24"/>
        </w:rPr>
        <w:t xml:space="preserve">Accounting </w:t>
      </w:r>
      <w:r w:rsidR="00404F8C">
        <w:rPr>
          <w:rFonts w:ascii="Times New Roman" w:hAnsi="Times New Roman" w:cs="Times New Roman"/>
          <w:b/>
          <w:bCs/>
          <w:color w:val="1C1E29"/>
          <w:sz w:val="24"/>
          <w:szCs w:val="24"/>
        </w:rPr>
        <w:t>C</w:t>
      </w:r>
      <w:r w:rsidR="00404F8C" w:rsidRPr="00514446">
        <w:rPr>
          <w:rFonts w:ascii="Times New Roman" w:hAnsi="Times New Roman" w:cs="Times New Roman"/>
          <w:b/>
          <w:bCs/>
          <w:color w:val="1C1E29"/>
          <w:sz w:val="24"/>
          <w:szCs w:val="24"/>
        </w:rPr>
        <w:t>onservatism</w:t>
      </w:r>
      <w:r w:rsidR="00404F8C">
        <w:rPr>
          <w:rFonts w:ascii="Times New Roman" w:hAnsi="Times New Roman" w:cs="Times New Roman"/>
          <w:b/>
          <w:bCs/>
          <w:color w:val="1C1E29"/>
          <w:sz w:val="24"/>
          <w:szCs w:val="24"/>
        </w:rPr>
        <w:t xml:space="preserve">, </w:t>
      </w:r>
      <w:r w:rsidR="00404F8C" w:rsidRPr="00514446">
        <w:rPr>
          <w:rFonts w:ascii="Times New Roman" w:hAnsi="Times New Roman" w:cs="Times New Roman"/>
          <w:b/>
          <w:bCs/>
          <w:color w:val="1C1E29"/>
          <w:sz w:val="24"/>
          <w:szCs w:val="24"/>
        </w:rPr>
        <w:t>Information</w:t>
      </w:r>
      <w:r w:rsidR="00514446">
        <w:rPr>
          <w:rFonts w:ascii="Times New Roman" w:hAnsi="Times New Roman" w:cs="Times New Roman"/>
          <w:b/>
          <w:bCs/>
          <w:color w:val="1C1E29"/>
          <w:sz w:val="24"/>
          <w:szCs w:val="24"/>
        </w:rPr>
        <w:t xml:space="preserve"> </w:t>
      </w:r>
      <w:r w:rsidR="007A7ECB">
        <w:rPr>
          <w:rFonts w:ascii="Times New Roman" w:hAnsi="Times New Roman" w:cs="Times New Roman"/>
          <w:b/>
          <w:bCs/>
          <w:color w:val="1C1E29"/>
          <w:sz w:val="24"/>
          <w:szCs w:val="24"/>
        </w:rPr>
        <w:t>A</w:t>
      </w:r>
      <w:r w:rsidR="00404F8C">
        <w:rPr>
          <w:rFonts w:ascii="Times New Roman" w:hAnsi="Times New Roman" w:cs="Times New Roman"/>
          <w:b/>
          <w:bCs/>
          <w:color w:val="1C1E29"/>
          <w:sz w:val="24"/>
          <w:szCs w:val="24"/>
        </w:rPr>
        <w:t>symmetry, and Information Environment</w:t>
      </w:r>
    </w:p>
    <w:p w14:paraId="0BE25CB5" w14:textId="6FAEE8B1" w:rsidR="00514446" w:rsidRDefault="00514446" w:rsidP="00514446">
      <w:pPr>
        <w:spacing w:line="480" w:lineRule="auto"/>
        <w:ind w:firstLine="720"/>
        <w:contextualSpacing/>
        <w:jc w:val="both"/>
        <w:rPr>
          <w:rFonts w:ascii="Times New Roman" w:eastAsia="Times New Roman" w:hAnsi="Times New Roman" w:cs="Times New Roman"/>
          <w:color w:val="000000"/>
          <w:sz w:val="24"/>
          <w:szCs w:val="24"/>
        </w:rPr>
      </w:pPr>
      <w:r w:rsidRPr="00232485">
        <w:rPr>
          <w:rFonts w:ascii="Times New Roman" w:hAnsi="Times New Roman" w:cs="Times New Roman"/>
          <w:sz w:val="24"/>
          <w:szCs w:val="24"/>
        </w:rPr>
        <w:t xml:space="preserve">Prior research </w:t>
      </w:r>
      <w:r>
        <w:rPr>
          <w:rFonts w:ascii="Times New Roman" w:hAnsi="Times New Roman" w:cs="Times New Roman"/>
          <w:sz w:val="24"/>
          <w:szCs w:val="24"/>
        </w:rPr>
        <w:t>suggests</w:t>
      </w:r>
      <w:r w:rsidRPr="00232485">
        <w:rPr>
          <w:rFonts w:ascii="Times New Roman" w:hAnsi="Times New Roman" w:cs="Times New Roman"/>
          <w:sz w:val="24"/>
          <w:szCs w:val="24"/>
        </w:rPr>
        <w:t xml:space="preserve"> that accounting conservatism has informational benefits</w:t>
      </w:r>
      <w:r>
        <w:rPr>
          <w:rFonts w:ascii="Times New Roman" w:hAnsi="Times New Roman" w:cs="Times New Roman"/>
          <w:sz w:val="24"/>
          <w:szCs w:val="24"/>
        </w:rPr>
        <w:t xml:space="preserve"> to reduce information asymmetry between managers and </w:t>
      </w:r>
      <w:r w:rsidR="007A7ECB">
        <w:rPr>
          <w:rFonts w:ascii="Times New Roman" w:hAnsi="Times New Roman" w:cs="Times New Roman"/>
          <w:sz w:val="24"/>
          <w:szCs w:val="24"/>
        </w:rPr>
        <w:t xml:space="preserve">the </w:t>
      </w:r>
      <w:r>
        <w:rPr>
          <w:rFonts w:ascii="Times New Roman" w:hAnsi="Times New Roman" w:cs="Times New Roman"/>
          <w:sz w:val="24"/>
          <w:szCs w:val="24"/>
        </w:rPr>
        <w:t>market</w:t>
      </w:r>
      <w:r w:rsidR="006F58BC">
        <w:rPr>
          <w:rFonts w:ascii="Times New Roman" w:hAnsi="Times New Roman" w:cs="Times New Roman"/>
          <w:sz w:val="24"/>
          <w:szCs w:val="24"/>
        </w:rPr>
        <w:t xml:space="preserve"> (</w:t>
      </w:r>
      <w:proofErr w:type="spellStart"/>
      <w:r w:rsidR="006F58BC">
        <w:rPr>
          <w:rFonts w:ascii="Times New Roman" w:hAnsi="Times New Roman" w:cs="Times New Roman"/>
          <w:sz w:val="24"/>
          <w:szCs w:val="24"/>
        </w:rPr>
        <w:t>LaFond</w:t>
      </w:r>
      <w:proofErr w:type="spellEnd"/>
      <w:r w:rsidR="006F58BC">
        <w:rPr>
          <w:rFonts w:ascii="Times New Roman" w:hAnsi="Times New Roman" w:cs="Times New Roman"/>
          <w:sz w:val="24"/>
          <w:szCs w:val="24"/>
        </w:rPr>
        <w:t xml:space="preserve"> and Watts 2008). This is because conservative reporting </w:t>
      </w:r>
      <w:r w:rsidRPr="00232485">
        <w:rPr>
          <w:rFonts w:ascii="Times New Roman" w:hAnsi="Times New Roman" w:cs="Times New Roman"/>
          <w:sz w:val="24"/>
          <w:szCs w:val="24"/>
        </w:rPr>
        <w:t>imposes stronger verification requirements for the recognition of unrealize</w:t>
      </w:r>
      <w:r w:rsidR="006F58BC">
        <w:rPr>
          <w:rFonts w:ascii="Times New Roman" w:hAnsi="Times New Roman" w:cs="Times New Roman"/>
          <w:sz w:val="24"/>
          <w:szCs w:val="24"/>
        </w:rPr>
        <w:t>d gains than unrealized losses,</w:t>
      </w:r>
      <w:r w:rsidRPr="00232485">
        <w:rPr>
          <w:rFonts w:ascii="Times New Roman" w:hAnsi="Times New Roman" w:cs="Times New Roman"/>
          <w:sz w:val="24"/>
          <w:szCs w:val="24"/>
        </w:rPr>
        <w:t xml:space="preserve"> which increases the timeliness of </w:t>
      </w:r>
      <w:r w:rsidR="007A7ECB">
        <w:rPr>
          <w:rFonts w:ascii="Times New Roman" w:hAnsi="Times New Roman" w:cs="Times New Roman"/>
          <w:sz w:val="24"/>
          <w:szCs w:val="24"/>
        </w:rPr>
        <w:t xml:space="preserve">the </w:t>
      </w:r>
      <w:r w:rsidRPr="00232485">
        <w:rPr>
          <w:rFonts w:ascii="Times New Roman" w:hAnsi="Times New Roman" w:cs="Times New Roman"/>
          <w:sz w:val="24"/>
          <w:szCs w:val="24"/>
        </w:rPr>
        <w:t>loss versus gain recognition (</w:t>
      </w:r>
      <w:proofErr w:type="spellStart"/>
      <w:r w:rsidRPr="00232485">
        <w:rPr>
          <w:rFonts w:ascii="Times New Roman" w:hAnsi="Times New Roman" w:cs="Times New Roman"/>
          <w:sz w:val="24"/>
          <w:szCs w:val="24"/>
        </w:rPr>
        <w:t>Basu</w:t>
      </w:r>
      <w:proofErr w:type="spellEnd"/>
      <w:r w:rsidRPr="00232485">
        <w:rPr>
          <w:rFonts w:ascii="Times New Roman" w:hAnsi="Times New Roman" w:cs="Times New Roman"/>
          <w:sz w:val="24"/>
          <w:szCs w:val="24"/>
        </w:rPr>
        <w:t xml:space="preserve"> 1997). </w:t>
      </w:r>
      <w:proofErr w:type="spellStart"/>
      <w:r w:rsidRPr="00232485">
        <w:rPr>
          <w:rFonts w:ascii="Times New Roman" w:hAnsi="Times New Roman" w:cs="Times New Roman"/>
          <w:sz w:val="24"/>
          <w:szCs w:val="24"/>
        </w:rPr>
        <w:t>LaFond</w:t>
      </w:r>
      <w:proofErr w:type="spellEnd"/>
      <w:r w:rsidRPr="00232485">
        <w:rPr>
          <w:rFonts w:ascii="Times New Roman" w:hAnsi="Times New Roman" w:cs="Times New Roman"/>
          <w:sz w:val="24"/>
          <w:szCs w:val="24"/>
        </w:rPr>
        <w:t xml:space="preserve"> and Watts (2008) argue that managers can derive personal benefit</w:t>
      </w:r>
      <w:r w:rsidR="006F58BC">
        <w:rPr>
          <w:rFonts w:ascii="Times New Roman" w:hAnsi="Times New Roman" w:cs="Times New Roman"/>
          <w:sz w:val="24"/>
          <w:szCs w:val="24"/>
        </w:rPr>
        <w:t>s</w:t>
      </w:r>
      <w:r w:rsidRPr="00232485">
        <w:rPr>
          <w:rFonts w:ascii="Times New Roman" w:hAnsi="Times New Roman" w:cs="Times New Roman"/>
          <w:sz w:val="24"/>
          <w:szCs w:val="24"/>
        </w:rPr>
        <w:t xml:space="preserve"> at the expense of </w:t>
      </w:r>
      <w:r w:rsidR="006F58BC">
        <w:rPr>
          <w:rFonts w:ascii="Times New Roman" w:hAnsi="Times New Roman" w:cs="Times New Roman"/>
          <w:sz w:val="24"/>
          <w:szCs w:val="24"/>
        </w:rPr>
        <w:t>shareholders by overstating</w:t>
      </w:r>
      <w:r w:rsidRPr="00232485">
        <w:rPr>
          <w:rFonts w:ascii="Times New Roman" w:hAnsi="Times New Roman" w:cs="Times New Roman"/>
          <w:sz w:val="24"/>
          <w:szCs w:val="24"/>
        </w:rPr>
        <w:t xml:space="preserve"> financial performance, and thus inflating </w:t>
      </w:r>
      <w:r w:rsidR="006F58BC">
        <w:rPr>
          <w:rFonts w:ascii="Times New Roman" w:hAnsi="Times New Roman" w:cs="Times New Roman"/>
          <w:sz w:val="24"/>
          <w:szCs w:val="24"/>
        </w:rPr>
        <w:t xml:space="preserve">firm </w:t>
      </w:r>
      <w:r w:rsidRPr="00232485">
        <w:rPr>
          <w:rFonts w:ascii="Times New Roman" w:hAnsi="Times New Roman" w:cs="Times New Roman"/>
          <w:sz w:val="24"/>
          <w:szCs w:val="24"/>
        </w:rPr>
        <w:t xml:space="preserve">stock prices. Recognizing that stock prices may be inflated and that they have an information disadvantage relative to managers, investors lower their bid prices for shares to generate a higher return from their equity investment. </w:t>
      </w:r>
      <w:r w:rsidR="006F58BC">
        <w:rPr>
          <w:rFonts w:ascii="Times New Roman" w:hAnsi="Times New Roman" w:cs="Times New Roman"/>
          <w:sz w:val="24"/>
          <w:szCs w:val="24"/>
        </w:rPr>
        <w:t>C</w:t>
      </w:r>
      <w:r w:rsidRPr="00232485">
        <w:rPr>
          <w:rFonts w:ascii="Times New Roman" w:hAnsi="Times New Roman" w:cs="Times New Roman"/>
          <w:sz w:val="24"/>
          <w:szCs w:val="24"/>
        </w:rPr>
        <w:t>onservatism mitigates this cost of information asymmetry because it requires higher verification standards for recognizing gains, which curb managers’ propensity to overstate unverifiable gains, and lower verification standards for losses, which curb managers’ reluctance to report less verifiable losses</w:t>
      </w:r>
      <w:r w:rsidR="006F58BC">
        <w:rPr>
          <w:rFonts w:ascii="Times New Roman" w:hAnsi="Times New Roman" w:cs="Times New Roman"/>
          <w:sz w:val="24"/>
          <w:szCs w:val="24"/>
        </w:rPr>
        <w:t xml:space="preserve"> (</w:t>
      </w:r>
      <w:proofErr w:type="spellStart"/>
      <w:r w:rsidR="006F58BC">
        <w:rPr>
          <w:rFonts w:ascii="Times New Roman" w:hAnsi="Times New Roman" w:cs="Times New Roman"/>
          <w:sz w:val="24"/>
          <w:szCs w:val="24"/>
        </w:rPr>
        <w:t>LaFond</w:t>
      </w:r>
      <w:proofErr w:type="spellEnd"/>
      <w:r w:rsidR="006F58BC">
        <w:rPr>
          <w:rFonts w:ascii="Times New Roman" w:hAnsi="Times New Roman" w:cs="Times New Roman"/>
          <w:sz w:val="24"/>
          <w:szCs w:val="24"/>
        </w:rPr>
        <w:t xml:space="preserve"> and Watts 2008)</w:t>
      </w:r>
      <w:r w:rsidRPr="00232485">
        <w:rPr>
          <w:rFonts w:ascii="Times New Roman" w:hAnsi="Times New Roman" w:cs="Times New Roman"/>
          <w:sz w:val="24"/>
          <w:szCs w:val="24"/>
        </w:rPr>
        <w:t xml:space="preserve">. Thus, </w:t>
      </w:r>
      <w:r w:rsidR="006F58BC">
        <w:rPr>
          <w:rFonts w:ascii="Times New Roman" w:hAnsi="Times New Roman" w:cs="Times New Roman"/>
          <w:sz w:val="24"/>
          <w:szCs w:val="24"/>
        </w:rPr>
        <w:t>higher</w:t>
      </w:r>
      <w:r>
        <w:rPr>
          <w:rFonts w:ascii="Times New Roman" w:hAnsi="Times New Roman" w:cs="Times New Roman"/>
          <w:sz w:val="24"/>
          <w:szCs w:val="24"/>
        </w:rPr>
        <w:t xml:space="preserve"> </w:t>
      </w:r>
      <w:r w:rsidR="006F58BC">
        <w:rPr>
          <w:rFonts w:ascii="Times New Roman" w:hAnsi="Times New Roman" w:cs="Times New Roman"/>
          <w:sz w:val="24"/>
          <w:szCs w:val="24"/>
        </w:rPr>
        <w:t xml:space="preserve">accounting </w:t>
      </w:r>
      <w:r w:rsidRPr="00232485">
        <w:rPr>
          <w:rFonts w:ascii="Times New Roman" w:hAnsi="Times New Roman" w:cs="Times New Roman"/>
          <w:sz w:val="24"/>
          <w:szCs w:val="24"/>
        </w:rPr>
        <w:t xml:space="preserve">conservatism </w:t>
      </w:r>
      <w:r>
        <w:rPr>
          <w:rFonts w:ascii="Times New Roman" w:hAnsi="Times New Roman" w:cs="Times New Roman"/>
          <w:sz w:val="24"/>
          <w:szCs w:val="24"/>
        </w:rPr>
        <w:t>leads to</w:t>
      </w:r>
      <w:r w:rsidRPr="00232485">
        <w:rPr>
          <w:rFonts w:ascii="Times New Roman" w:hAnsi="Times New Roman" w:cs="Times New Roman"/>
          <w:sz w:val="24"/>
          <w:szCs w:val="24"/>
        </w:rPr>
        <w:t xml:space="preserve"> harder information than would be produced by reporting </w:t>
      </w:r>
      <w:r w:rsidRPr="00232485">
        <w:rPr>
          <w:rFonts w:ascii="Times New Roman" w:hAnsi="Times New Roman" w:cs="Times New Roman"/>
          <w:sz w:val="24"/>
          <w:szCs w:val="24"/>
        </w:rPr>
        <w:lastRenderedPageBreak/>
        <w:t xml:space="preserve">practices that impose the same verification standard for both gains and losses. </w:t>
      </w:r>
      <w:r w:rsidRPr="00AF5001">
        <w:rPr>
          <w:rFonts w:ascii="Times New Roman" w:eastAsia="Times New Roman" w:hAnsi="Times New Roman" w:cs="Times New Roman"/>
          <w:color w:val="000000"/>
          <w:sz w:val="24"/>
          <w:szCs w:val="24"/>
        </w:rPr>
        <w:t>Consistent with th</w:t>
      </w:r>
      <w:r w:rsidR="006F58BC">
        <w:rPr>
          <w:rFonts w:ascii="Times New Roman" w:eastAsia="Times New Roman" w:hAnsi="Times New Roman" w:cs="Times New Roman"/>
          <w:color w:val="000000"/>
          <w:sz w:val="24"/>
          <w:szCs w:val="24"/>
        </w:rPr>
        <w:t>e</w:t>
      </w:r>
      <w:r w:rsidRPr="00AF5001">
        <w:rPr>
          <w:rFonts w:ascii="Times New Roman" w:eastAsia="Times New Roman" w:hAnsi="Times New Roman" w:cs="Times New Roman"/>
          <w:color w:val="000000"/>
          <w:sz w:val="24"/>
          <w:szCs w:val="24"/>
        </w:rPr>
        <w:t xml:space="preserve"> argument by </w:t>
      </w:r>
      <w:proofErr w:type="spellStart"/>
      <w:r w:rsidRPr="00AF5001">
        <w:rPr>
          <w:rFonts w:ascii="Times New Roman" w:eastAsia="Times New Roman" w:hAnsi="Times New Roman" w:cs="Times New Roman"/>
          <w:color w:val="000000"/>
          <w:sz w:val="24"/>
          <w:szCs w:val="24"/>
        </w:rPr>
        <w:t>LaFond</w:t>
      </w:r>
      <w:proofErr w:type="spellEnd"/>
      <w:r w:rsidRPr="00AF5001">
        <w:rPr>
          <w:rFonts w:ascii="Times New Roman" w:eastAsia="Times New Roman" w:hAnsi="Times New Roman" w:cs="Times New Roman"/>
          <w:color w:val="000000"/>
          <w:sz w:val="24"/>
          <w:szCs w:val="24"/>
        </w:rPr>
        <w:t xml:space="preserve"> and Watts (2008), </w:t>
      </w:r>
      <w:r>
        <w:rPr>
          <w:rFonts w:ascii="Times New Roman" w:eastAsia="Times New Roman" w:hAnsi="Times New Roman" w:cs="Times New Roman"/>
          <w:color w:val="000000"/>
          <w:sz w:val="24"/>
          <w:szCs w:val="24"/>
        </w:rPr>
        <w:t xml:space="preserve">prior literature </w:t>
      </w:r>
      <w:r w:rsidR="006F58BC">
        <w:rPr>
          <w:rFonts w:ascii="Times New Roman" w:eastAsia="Times New Roman" w:hAnsi="Times New Roman" w:cs="Times New Roman"/>
          <w:color w:val="000000"/>
          <w:sz w:val="24"/>
          <w:szCs w:val="24"/>
        </w:rPr>
        <w:t xml:space="preserve">finds </w:t>
      </w:r>
      <w:r w:rsidRPr="00AF5001">
        <w:rPr>
          <w:rFonts w:ascii="Times New Roman" w:eastAsia="Times New Roman" w:hAnsi="Times New Roman" w:cs="Times New Roman"/>
          <w:color w:val="000000"/>
          <w:sz w:val="24"/>
          <w:szCs w:val="24"/>
        </w:rPr>
        <w:t xml:space="preserve">that </w:t>
      </w:r>
      <w:r w:rsidR="006F58BC">
        <w:rPr>
          <w:rFonts w:ascii="Times New Roman" w:eastAsia="Times New Roman" w:hAnsi="Times New Roman" w:cs="Times New Roman"/>
          <w:color w:val="000000"/>
          <w:sz w:val="24"/>
          <w:szCs w:val="24"/>
        </w:rPr>
        <w:t xml:space="preserve">higher </w:t>
      </w:r>
      <w:r w:rsidRPr="00AF5001">
        <w:rPr>
          <w:rFonts w:ascii="Times New Roman" w:eastAsia="Times New Roman" w:hAnsi="Times New Roman" w:cs="Times New Roman"/>
          <w:color w:val="000000"/>
          <w:sz w:val="24"/>
          <w:szCs w:val="24"/>
        </w:rPr>
        <w:t xml:space="preserve">conservatism results in lower information asymmetry and stock return volatility, </w:t>
      </w:r>
      <w:r w:rsidR="006F58BC">
        <w:rPr>
          <w:rFonts w:ascii="Times New Roman" w:eastAsia="Times New Roman" w:hAnsi="Times New Roman" w:cs="Times New Roman"/>
          <w:color w:val="000000"/>
          <w:sz w:val="24"/>
          <w:szCs w:val="24"/>
        </w:rPr>
        <w:t>evidenced by</w:t>
      </w:r>
      <w:r w:rsidRPr="00232485">
        <w:rPr>
          <w:rFonts w:ascii="Times New Roman" w:eastAsia="Times New Roman" w:hAnsi="Times New Roman" w:cs="Times New Roman"/>
          <w:color w:val="000000"/>
          <w:sz w:val="24"/>
          <w:szCs w:val="24"/>
        </w:rPr>
        <w:t xml:space="preserve"> a significant negative association between conservatism and the cost of equity capital</w:t>
      </w:r>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 xml:space="preserve">Garcia Lara, </w:t>
      </w:r>
      <w:proofErr w:type="spellStart"/>
      <w:r w:rsidR="006F2144" w:rsidRPr="00AF5001">
        <w:rPr>
          <w:rFonts w:ascii="Times New Roman" w:eastAsia="Times New Roman" w:hAnsi="Times New Roman" w:cs="Times New Roman"/>
          <w:color w:val="000000"/>
          <w:sz w:val="24"/>
          <w:szCs w:val="24"/>
        </w:rPr>
        <w:t>Osma</w:t>
      </w:r>
      <w:proofErr w:type="spellEnd"/>
      <w:r w:rsidR="006F2144" w:rsidRPr="00AF5001">
        <w:rPr>
          <w:rFonts w:ascii="Times New Roman" w:eastAsia="Times New Roman" w:hAnsi="Times New Roman" w:cs="Times New Roman"/>
          <w:color w:val="000000"/>
          <w:sz w:val="24"/>
          <w:szCs w:val="24"/>
        </w:rPr>
        <w:t xml:space="preserve">, and </w:t>
      </w:r>
      <w:proofErr w:type="spellStart"/>
      <w:r w:rsidR="006F2144">
        <w:rPr>
          <w:rFonts w:ascii="Times New Roman" w:eastAsia="Times New Roman" w:hAnsi="Times New Roman" w:cs="Times New Roman"/>
          <w:color w:val="000000"/>
          <w:sz w:val="24"/>
          <w:szCs w:val="24"/>
        </w:rPr>
        <w:t>Penalva</w:t>
      </w:r>
      <w:proofErr w:type="spellEnd"/>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2014)</w:t>
      </w:r>
      <w:r w:rsidRPr="002324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281CE58A" w14:textId="77777777" w:rsidR="00650863" w:rsidRDefault="000C7B7E"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Although </w:t>
      </w:r>
      <w:r w:rsidR="00514446">
        <w:rPr>
          <w:rFonts w:ascii="Times New Roman" w:eastAsia="Times New Roman" w:hAnsi="Times New Roman" w:cs="Times New Roman"/>
          <w:color w:val="000000"/>
          <w:sz w:val="24"/>
          <w:szCs w:val="24"/>
        </w:rPr>
        <w:t>accounting conservatis</w:t>
      </w:r>
      <w:r>
        <w:rPr>
          <w:rFonts w:ascii="Times New Roman" w:eastAsia="Times New Roman" w:hAnsi="Times New Roman" w:cs="Times New Roman"/>
          <w:color w:val="000000"/>
          <w:sz w:val="24"/>
          <w:szCs w:val="24"/>
        </w:rPr>
        <w:t xml:space="preserve">m </w:t>
      </w:r>
      <w:r w:rsidR="00404F8C">
        <w:rPr>
          <w:rFonts w:ascii="Times New Roman" w:eastAsia="Times New Roman" w:hAnsi="Times New Roman" w:cs="Times New Roman"/>
          <w:color w:val="000000"/>
          <w:sz w:val="24"/>
          <w:szCs w:val="24"/>
        </w:rPr>
        <w:t>mitigates</w:t>
      </w:r>
      <w:r>
        <w:rPr>
          <w:rFonts w:ascii="Times New Roman" w:eastAsia="Times New Roman" w:hAnsi="Times New Roman" w:cs="Times New Roman"/>
          <w:color w:val="000000"/>
          <w:sz w:val="24"/>
          <w:szCs w:val="24"/>
        </w:rPr>
        <w:t xml:space="preserve"> information asymmetry </w:t>
      </w:r>
      <w:r w:rsidR="00514446">
        <w:rPr>
          <w:rFonts w:ascii="Times New Roman" w:eastAsia="Times New Roman" w:hAnsi="Times New Roman" w:cs="Times New Roman"/>
          <w:color w:val="000000"/>
          <w:sz w:val="24"/>
          <w:szCs w:val="24"/>
        </w:rPr>
        <w:t>(</w:t>
      </w:r>
      <w:proofErr w:type="spellStart"/>
      <w:r w:rsidR="00514446">
        <w:rPr>
          <w:rFonts w:ascii="Times New Roman" w:hAnsi="Times New Roman" w:cs="Times New Roman"/>
          <w:sz w:val="24"/>
          <w:szCs w:val="24"/>
        </w:rPr>
        <w:t>LaFond</w:t>
      </w:r>
      <w:proofErr w:type="spellEnd"/>
      <w:r w:rsidR="00514446">
        <w:rPr>
          <w:rFonts w:ascii="Times New Roman" w:hAnsi="Times New Roman" w:cs="Times New Roman"/>
          <w:sz w:val="24"/>
          <w:szCs w:val="24"/>
        </w:rPr>
        <w:t xml:space="preserve"> and Watts </w:t>
      </w:r>
      <w:r w:rsidR="00514446" w:rsidRPr="00232485">
        <w:rPr>
          <w:rFonts w:ascii="Times New Roman" w:hAnsi="Times New Roman" w:cs="Times New Roman"/>
          <w:sz w:val="24"/>
          <w:szCs w:val="24"/>
        </w:rPr>
        <w:t>2008)</w:t>
      </w:r>
      <w:r w:rsidR="00514446">
        <w:rPr>
          <w:rFonts w:ascii="Times New Roman" w:eastAsia="Times New Roman" w:hAnsi="Times New Roman" w:cs="Times New Roman"/>
          <w:color w:val="000000"/>
          <w:sz w:val="24"/>
          <w:szCs w:val="24"/>
        </w:rPr>
        <w:t xml:space="preserve">, </w:t>
      </w:r>
      <w:r w:rsidR="00650863" w:rsidRPr="00182A8C">
        <w:rPr>
          <w:rFonts w:ascii="Times New Roman" w:hAnsi="Times New Roman" w:cs="Times New Roman"/>
          <w:color w:val="1C1E29"/>
          <w:sz w:val="24"/>
          <w:szCs w:val="24"/>
        </w:rPr>
        <w:t xml:space="preserve">it does not necessarily improve the </w:t>
      </w:r>
      <w:r w:rsidR="00650863">
        <w:rPr>
          <w:rFonts w:ascii="Times New Roman" w:hAnsi="Times New Roman" w:cs="Times New Roman"/>
          <w:color w:val="1C1E29"/>
          <w:sz w:val="24"/>
          <w:szCs w:val="24"/>
        </w:rPr>
        <w:t xml:space="preserve">firm </w:t>
      </w:r>
      <w:r w:rsidR="00650863" w:rsidRPr="00182A8C">
        <w:rPr>
          <w:rFonts w:ascii="Times New Roman" w:hAnsi="Times New Roman" w:cs="Times New Roman"/>
          <w:color w:val="1C1E29"/>
          <w:sz w:val="24"/>
          <w:szCs w:val="24"/>
        </w:rPr>
        <w:t>information environment for market participants.</w:t>
      </w:r>
      <w:r w:rsidR="00650863">
        <w:rPr>
          <w:rFonts w:ascii="Times New Roman" w:hAnsi="Times New Roman" w:cs="Times New Roman"/>
          <w:color w:val="1C1E29"/>
          <w:sz w:val="24"/>
          <w:szCs w:val="24"/>
        </w:rPr>
        <w:t xml:space="preserve"> </w:t>
      </w:r>
      <w:r w:rsidR="00650863" w:rsidRPr="00182A8C">
        <w:rPr>
          <w:rFonts w:ascii="Times New Roman" w:hAnsi="Times New Roman" w:cs="Times New Roman"/>
          <w:color w:val="1C1E29"/>
          <w:sz w:val="24"/>
          <w:szCs w:val="24"/>
        </w:rPr>
        <w:t xml:space="preserve">This is because when information asymmetry is lower, a higher-quality information environment also </w:t>
      </w:r>
      <w:r w:rsidR="00650863">
        <w:rPr>
          <w:rFonts w:ascii="Times New Roman" w:hAnsi="Times New Roman" w:cs="Times New Roman"/>
          <w:color w:val="1C1E29"/>
          <w:sz w:val="24"/>
          <w:szCs w:val="24"/>
        </w:rPr>
        <w:t xml:space="preserve">demands </w:t>
      </w:r>
      <w:r w:rsidR="00650863" w:rsidRPr="00182A8C">
        <w:rPr>
          <w:rFonts w:ascii="Times New Roman" w:hAnsi="Times New Roman" w:cs="Times New Roman"/>
          <w:color w:val="1C1E29"/>
          <w:sz w:val="24"/>
          <w:szCs w:val="24"/>
        </w:rPr>
        <w:t xml:space="preserve">greater informativeness in managerial disclosure. </w:t>
      </w:r>
      <w:r w:rsidR="00514446">
        <w:rPr>
          <w:rFonts w:ascii="Times New Roman" w:eastAsia="Times New Roman" w:hAnsi="Times New Roman" w:cs="Times New Roman"/>
          <w:color w:val="000000"/>
          <w:sz w:val="24"/>
          <w:szCs w:val="24"/>
        </w:rPr>
        <w:t xml:space="preserve">The informativeness in managerial disclosure </w:t>
      </w:r>
      <w:r w:rsidR="00F1622D">
        <w:rPr>
          <w:rFonts w:ascii="Times New Roman" w:eastAsia="Times New Roman" w:hAnsi="Times New Roman" w:cs="Times New Roman"/>
          <w:color w:val="000000"/>
          <w:sz w:val="24"/>
          <w:szCs w:val="24"/>
        </w:rPr>
        <w:t>should increase</w:t>
      </w:r>
      <w:r w:rsidR="00514446">
        <w:rPr>
          <w:rFonts w:ascii="Times New Roman" w:eastAsia="Times New Roman" w:hAnsi="Times New Roman" w:cs="Times New Roman"/>
          <w:color w:val="000000"/>
          <w:sz w:val="24"/>
          <w:szCs w:val="24"/>
        </w:rPr>
        <w:t xml:space="preserve"> information precision (i.e. smaller analyst forecast error) and lower information uncertainty (i.e. smaller analyst forecast dispersion). </w:t>
      </w:r>
    </w:p>
    <w:p w14:paraId="56B8193F" w14:textId="242194A9" w:rsidR="00F1622D" w:rsidRDefault="00404F8C"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514446">
        <w:rPr>
          <w:rFonts w:ascii="Times New Roman" w:eastAsia="Times New Roman" w:hAnsi="Times New Roman" w:cs="Times New Roman"/>
          <w:color w:val="000000"/>
          <w:sz w:val="24"/>
          <w:szCs w:val="24"/>
        </w:rPr>
        <w:t>rior research on whether accounting conservatism improves analyst forecast accuracy or lowers forecast dispersion provides mixed evidence.</w:t>
      </w:r>
      <w:r w:rsidR="00514446" w:rsidRPr="00F1622D">
        <w:rPr>
          <w:rFonts w:ascii="Times New Roman" w:eastAsia="Times New Roman" w:hAnsi="Times New Roman" w:cs="Times New Roman"/>
          <w:color w:val="000000"/>
          <w:sz w:val="24"/>
          <w:szCs w:val="24"/>
        </w:rPr>
        <w:t xml:space="preserve"> </w:t>
      </w:r>
      <w:r w:rsidR="00F1622D" w:rsidRPr="00F1622D">
        <w:rPr>
          <w:rFonts w:ascii="Times New Roman" w:eastAsia="Times New Roman" w:hAnsi="Times New Roman" w:cs="Times New Roman"/>
          <w:color w:val="000000"/>
          <w:sz w:val="24"/>
          <w:szCs w:val="24"/>
        </w:rPr>
        <w:t xml:space="preserve">For example, Li (2008) </w:t>
      </w:r>
      <w:r w:rsidR="00F1622D" w:rsidRPr="007033DF">
        <w:rPr>
          <w:rFonts w:ascii="Times New Roman" w:eastAsia="Times New Roman" w:hAnsi="Times New Roman" w:cs="Times New Roman"/>
          <w:color w:val="000000"/>
          <w:sz w:val="24"/>
          <w:szCs w:val="24"/>
        </w:rPr>
        <w:t xml:space="preserve">finds that conservatism increases analyst forecast accuracy. </w:t>
      </w:r>
      <w:r w:rsidR="00F1622D">
        <w:rPr>
          <w:rFonts w:ascii="Times New Roman" w:eastAsia="Times New Roman" w:hAnsi="Times New Roman" w:cs="Times New Roman"/>
          <w:color w:val="000000"/>
          <w:sz w:val="24"/>
          <w:szCs w:val="24"/>
        </w:rPr>
        <w:t xml:space="preserve">In contrast, </w:t>
      </w:r>
      <w:r w:rsidR="000507EA">
        <w:rPr>
          <w:rFonts w:ascii="Times New Roman" w:eastAsia="Times New Roman" w:hAnsi="Times New Roman" w:cs="Times New Roman"/>
          <w:color w:val="000000"/>
          <w:sz w:val="24"/>
          <w:szCs w:val="24"/>
        </w:rPr>
        <w:t>other studies</w:t>
      </w:r>
      <w:r w:rsidR="00F1622D" w:rsidRPr="007033DF">
        <w:rPr>
          <w:rFonts w:ascii="Times New Roman" w:eastAsia="Times New Roman" w:hAnsi="Times New Roman" w:cs="Times New Roman"/>
          <w:color w:val="000000"/>
          <w:sz w:val="24"/>
          <w:szCs w:val="24"/>
        </w:rPr>
        <w:t xml:space="preserve"> find </w:t>
      </w:r>
      <w:r w:rsidR="00F1622D">
        <w:rPr>
          <w:rFonts w:ascii="Times New Roman" w:eastAsia="Times New Roman" w:hAnsi="Times New Roman" w:cs="Times New Roman"/>
          <w:color w:val="000000"/>
          <w:sz w:val="24"/>
          <w:szCs w:val="24"/>
        </w:rPr>
        <w:t xml:space="preserve">analyst forecasts are </w:t>
      </w:r>
      <w:r w:rsidR="00F1622D" w:rsidRPr="007033DF">
        <w:rPr>
          <w:rFonts w:ascii="Times New Roman" w:eastAsia="Times New Roman" w:hAnsi="Times New Roman" w:cs="Times New Roman"/>
          <w:color w:val="000000"/>
          <w:sz w:val="24"/>
          <w:szCs w:val="24"/>
        </w:rPr>
        <w:t xml:space="preserve">less accurate and more dispersed for conservative firms, suggesting that analysts do not fully </w:t>
      </w:r>
      <w:r w:rsidR="00F1622D">
        <w:rPr>
          <w:rFonts w:ascii="Times New Roman" w:eastAsia="Times New Roman" w:hAnsi="Times New Roman" w:cs="Times New Roman"/>
          <w:color w:val="000000"/>
          <w:sz w:val="24"/>
          <w:szCs w:val="24"/>
        </w:rPr>
        <w:t xml:space="preserve">anticipate </w:t>
      </w:r>
      <w:r w:rsidR="00F1622D" w:rsidRPr="007033DF">
        <w:rPr>
          <w:rFonts w:ascii="Times New Roman" w:eastAsia="Times New Roman" w:hAnsi="Times New Roman" w:cs="Times New Roman"/>
          <w:color w:val="000000"/>
          <w:sz w:val="24"/>
          <w:szCs w:val="24"/>
        </w:rPr>
        <w:t xml:space="preserve">the effects of </w:t>
      </w:r>
      <w:r w:rsidR="00F1622D">
        <w:rPr>
          <w:rFonts w:ascii="Times New Roman" w:eastAsia="Times New Roman" w:hAnsi="Times New Roman" w:cs="Times New Roman"/>
          <w:color w:val="000000"/>
          <w:sz w:val="24"/>
          <w:szCs w:val="24"/>
        </w:rPr>
        <w:t xml:space="preserve">accounting </w:t>
      </w:r>
      <w:r w:rsidR="00F1622D" w:rsidRPr="007033DF">
        <w:rPr>
          <w:rFonts w:ascii="Times New Roman" w:eastAsia="Times New Roman" w:hAnsi="Times New Roman" w:cs="Times New Roman"/>
          <w:color w:val="000000"/>
          <w:sz w:val="24"/>
          <w:szCs w:val="24"/>
        </w:rPr>
        <w:t>c</w:t>
      </w:r>
      <w:r w:rsidR="00F1622D">
        <w:rPr>
          <w:rFonts w:ascii="Times New Roman" w:eastAsia="Times New Roman" w:hAnsi="Times New Roman" w:cs="Times New Roman"/>
          <w:color w:val="000000"/>
          <w:sz w:val="24"/>
          <w:szCs w:val="24"/>
        </w:rPr>
        <w:t>onservatism</w:t>
      </w:r>
      <w:r w:rsidR="000507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 their forecasts </w:t>
      </w:r>
      <w:r w:rsidR="000507EA">
        <w:rPr>
          <w:rFonts w:ascii="Times New Roman" w:eastAsia="Times New Roman" w:hAnsi="Times New Roman" w:cs="Times New Roman"/>
          <w:color w:val="000000"/>
          <w:sz w:val="24"/>
          <w:szCs w:val="24"/>
        </w:rPr>
        <w:t>(</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Louis et al. 2014; Li 2019)</w:t>
      </w:r>
      <w:r w:rsidR="00F1622D" w:rsidRPr="007033DF">
        <w:rPr>
          <w:rFonts w:ascii="Times New Roman" w:eastAsia="Times New Roman" w:hAnsi="Times New Roman" w:cs="Times New Roman"/>
          <w:color w:val="000000"/>
          <w:sz w:val="24"/>
          <w:szCs w:val="24"/>
        </w:rPr>
        <w:t>. Louis et al. (20</w:t>
      </w:r>
      <w:r w:rsidR="00B23844">
        <w:rPr>
          <w:rFonts w:ascii="Times New Roman" w:eastAsia="Times New Roman" w:hAnsi="Times New Roman" w:cs="Times New Roman"/>
          <w:color w:val="000000"/>
          <w:sz w:val="24"/>
          <w:szCs w:val="24"/>
        </w:rPr>
        <w:t>14</w:t>
      </w:r>
      <w:r w:rsidR="00F1622D" w:rsidRPr="007033DF">
        <w:rPr>
          <w:rFonts w:ascii="Times New Roman" w:eastAsia="Times New Roman" w:hAnsi="Times New Roman" w:cs="Times New Roman"/>
          <w:color w:val="000000"/>
          <w:sz w:val="24"/>
          <w:szCs w:val="24"/>
        </w:rPr>
        <w:t xml:space="preserve">) argue that conservatism reduces GAAP earnings persistence and informativeness (Collins and Kothari 1989; Tucker and </w:t>
      </w:r>
      <w:proofErr w:type="spellStart"/>
      <w:r w:rsidR="00F1622D" w:rsidRPr="007033DF">
        <w:rPr>
          <w:rFonts w:ascii="Times New Roman" w:eastAsia="Times New Roman" w:hAnsi="Times New Roman" w:cs="Times New Roman"/>
          <w:color w:val="000000"/>
          <w:sz w:val="24"/>
          <w:szCs w:val="24"/>
        </w:rPr>
        <w:t>Zarowin</w:t>
      </w:r>
      <w:proofErr w:type="spellEnd"/>
      <w:r w:rsidR="00F1622D" w:rsidRPr="007033DF">
        <w:rPr>
          <w:rFonts w:ascii="Times New Roman" w:eastAsia="Times New Roman" w:hAnsi="Times New Roman" w:cs="Times New Roman"/>
          <w:color w:val="000000"/>
          <w:sz w:val="24"/>
          <w:szCs w:val="24"/>
        </w:rPr>
        <w:t xml:space="preserve"> 2006), makes income smoothing more difficult, and </w:t>
      </w:r>
      <w:r w:rsidR="00F1622D">
        <w:rPr>
          <w:rFonts w:ascii="Times New Roman" w:eastAsia="Times New Roman" w:hAnsi="Times New Roman" w:cs="Times New Roman"/>
          <w:color w:val="000000"/>
          <w:sz w:val="24"/>
          <w:szCs w:val="24"/>
        </w:rPr>
        <w:t xml:space="preserve">therefore </w:t>
      </w:r>
      <w:r w:rsidR="00F1622D" w:rsidRPr="007033DF">
        <w:rPr>
          <w:rFonts w:ascii="Times New Roman" w:eastAsia="Times New Roman" w:hAnsi="Times New Roman" w:cs="Times New Roman"/>
          <w:color w:val="000000"/>
          <w:sz w:val="24"/>
          <w:szCs w:val="24"/>
        </w:rPr>
        <w:t xml:space="preserve">makes forecasting GAAP earnings more difficult for analysts. </w:t>
      </w:r>
      <w:r w:rsidR="00F1622D">
        <w:rPr>
          <w:rFonts w:ascii="Times New Roman" w:eastAsia="Times New Roman" w:hAnsi="Times New Roman" w:cs="Times New Roman"/>
          <w:color w:val="000000"/>
          <w:sz w:val="24"/>
          <w:szCs w:val="24"/>
        </w:rPr>
        <w:t xml:space="preserve">Similarly, </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and </w:t>
      </w:r>
      <w:r w:rsidR="00F1622D" w:rsidRPr="007033DF">
        <w:rPr>
          <w:rFonts w:ascii="Times New Roman" w:eastAsia="Times New Roman" w:hAnsi="Times New Roman" w:cs="Times New Roman"/>
          <w:color w:val="000000"/>
          <w:sz w:val="24"/>
          <w:szCs w:val="24"/>
        </w:rPr>
        <w:t>Li</w:t>
      </w:r>
      <w:r w:rsidR="00F1622D" w:rsidRPr="00AF5001">
        <w:rPr>
          <w:rFonts w:ascii="Times New Roman" w:eastAsia="Times New Roman" w:hAnsi="Times New Roman" w:cs="Times New Roman"/>
          <w:color w:val="000000"/>
          <w:sz w:val="24"/>
          <w:szCs w:val="24"/>
        </w:rPr>
        <w:t xml:space="preserve"> (20</w:t>
      </w:r>
      <w:r w:rsidR="00B23844">
        <w:rPr>
          <w:rFonts w:ascii="Times New Roman" w:eastAsia="Times New Roman" w:hAnsi="Times New Roman" w:cs="Times New Roman"/>
          <w:color w:val="000000"/>
          <w:sz w:val="24"/>
          <w:szCs w:val="24"/>
        </w:rPr>
        <w:t>19</w:t>
      </w:r>
      <w:r w:rsidR="00F1622D" w:rsidRPr="00AF5001">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find</w:t>
      </w:r>
      <w:r w:rsidR="00F1622D">
        <w:rPr>
          <w:rFonts w:ascii="Times New Roman" w:eastAsia="Times New Roman" w:hAnsi="Times New Roman" w:cs="Times New Roman"/>
          <w:color w:val="000000"/>
          <w:sz w:val="24"/>
          <w:szCs w:val="24"/>
        </w:rPr>
        <w:t xml:space="preserve"> that </w:t>
      </w:r>
      <w:r w:rsidR="00F1622D" w:rsidRPr="007033DF">
        <w:rPr>
          <w:rFonts w:ascii="Times New Roman" w:eastAsia="Times New Roman" w:hAnsi="Times New Roman" w:cs="Times New Roman"/>
          <w:color w:val="000000"/>
          <w:sz w:val="24"/>
          <w:szCs w:val="24"/>
        </w:rPr>
        <w:t>analysts do not properly adjust for conservatism in their forecasts of future earnings. The</w:t>
      </w:r>
      <w:r w:rsidR="00F1622D">
        <w:rPr>
          <w:rFonts w:ascii="Times New Roman" w:eastAsia="Times New Roman" w:hAnsi="Times New Roman" w:cs="Times New Roman"/>
          <w:color w:val="000000"/>
          <w:sz w:val="24"/>
          <w:szCs w:val="24"/>
        </w:rPr>
        <w:t>se authors</w:t>
      </w:r>
      <w:r w:rsidR="00F1622D" w:rsidRPr="007033DF">
        <w:rPr>
          <w:rFonts w:ascii="Times New Roman" w:eastAsia="Times New Roman" w:hAnsi="Times New Roman" w:cs="Times New Roman"/>
          <w:color w:val="000000"/>
          <w:sz w:val="24"/>
          <w:szCs w:val="24"/>
        </w:rPr>
        <w:t xml:space="preserve"> find a negative relation between conservatism and analysts’ earnings forecast </w:t>
      </w:r>
      <w:r>
        <w:rPr>
          <w:rFonts w:ascii="Times New Roman" w:eastAsia="Times New Roman" w:hAnsi="Times New Roman" w:cs="Times New Roman"/>
          <w:color w:val="000000"/>
          <w:sz w:val="24"/>
          <w:szCs w:val="24"/>
        </w:rPr>
        <w:t>accuracy</w:t>
      </w:r>
      <w:r w:rsidR="00F1622D" w:rsidRPr="007033DF">
        <w:rPr>
          <w:rFonts w:ascii="Times New Roman" w:eastAsia="Times New Roman" w:hAnsi="Times New Roman" w:cs="Times New Roman"/>
          <w:color w:val="000000"/>
          <w:sz w:val="24"/>
          <w:szCs w:val="24"/>
        </w:rPr>
        <w:t xml:space="preserve"> and dispersion, </w:t>
      </w:r>
      <w:r>
        <w:rPr>
          <w:rFonts w:ascii="Times New Roman" w:eastAsia="Times New Roman" w:hAnsi="Times New Roman" w:cs="Times New Roman"/>
          <w:color w:val="000000"/>
          <w:sz w:val="24"/>
          <w:szCs w:val="24"/>
        </w:rPr>
        <w:t>supporting</w:t>
      </w:r>
      <w:r w:rsidR="00F1622D" w:rsidRPr="007033DF">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lastRenderedPageBreak/>
        <w:t>conservative reporting decrease information precision for analysts and worsens the firm information environment</w:t>
      </w:r>
      <w:r w:rsidR="00F83152">
        <w:rPr>
          <w:rFonts w:ascii="Times New Roman" w:eastAsia="Times New Roman" w:hAnsi="Times New Roman" w:cs="Times New Roman"/>
          <w:color w:val="000000"/>
          <w:sz w:val="24"/>
          <w:szCs w:val="24"/>
        </w:rPr>
        <w:t xml:space="preserve"> (</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w:t>
      </w:r>
      <w:r w:rsidR="00F1622D">
        <w:rPr>
          <w:rFonts w:ascii="Times New Roman" w:eastAsia="Times New Roman" w:hAnsi="Times New Roman" w:cs="Times New Roman"/>
          <w:color w:val="000000"/>
          <w:sz w:val="24"/>
          <w:szCs w:val="24"/>
        </w:rPr>
        <w:t>Louis et al. 20</w:t>
      </w:r>
      <w:r w:rsidR="00B23844">
        <w:rPr>
          <w:rFonts w:ascii="Times New Roman" w:eastAsia="Times New Roman" w:hAnsi="Times New Roman" w:cs="Times New Roman"/>
          <w:color w:val="000000"/>
          <w:sz w:val="24"/>
          <w:szCs w:val="24"/>
        </w:rPr>
        <w:t>14; Li 2019)</w:t>
      </w:r>
      <w:r w:rsidR="00F1622D" w:rsidRPr="00A54D6D">
        <w:rPr>
          <w:rFonts w:ascii="Times New Roman" w:eastAsia="Times New Roman" w:hAnsi="Times New Roman" w:cs="Times New Roman"/>
          <w:color w:val="000000"/>
          <w:sz w:val="24"/>
          <w:szCs w:val="24"/>
        </w:rPr>
        <w:t>.</w:t>
      </w:r>
      <w:r w:rsidR="00F1622D">
        <w:rPr>
          <w:rFonts w:ascii="Times New Roman" w:eastAsia="Times New Roman" w:hAnsi="Times New Roman" w:cs="Times New Roman"/>
          <w:color w:val="000000"/>
          <w:sz w:val="24"/>
          <w:szCs w:val="24"/>
        </w:rPr>
        <w:t xml:space="preserve"> </w:t>
      </w:r>
    </w:p>
    <w:p w14:paraId="68022772" w14:textId="7E82EE1B" w:rsidR="00C73908" w:rsidRPr="00182A8C" w:rsidRDefault="00C73908" w:rsidP="004F72BE">
      <w:pPr>
        <w:rPr>
          <w:rFonts w:ascii="Times New Roman" w:hAnsi="Times New Roman" w:cs="Times New Roman"/>
          <w:b/>
          <w:bCs/>
          <w:color w:val="1C1E29"/>
          <w:sz w:val="24"/>
          <w:szCs w:val="24"/>
        </w:rPr>
      </w:pPr>
    </w:p>
    <w:p w14:paraId="7FF57006" w14:textId="75C531E6" w:rsidR="00FB5FEE" w:rsidRPr="00182A8C" w:rsidRDefault="00A113D1" w:rsidP="00B12434">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2.2 </w:t>
      </w:r>
      <w:r w:rsidR="00FB5FEE" w:rsidRPr="00182A8C">
        <w:rPr>
          <w:rFonts w:ascii="Times New Roman" w:hAnsi="Times New Roman" w:cs="Times New Roman"/>
          <w:b/>
          <w:bCs/>
          <w:color w:val="1C1E29"/>
          <w:sz w:val="24"/>
          <w:szCs w:val="24"/>
        </w:rPr>
        <w:t xml:space="preserve">Hypothesis Development </w:t>
      </w:r>
    </w:p>
    <w:p w14:paraId="568F9E5B" w14:textId="3E555876" w:rsidR="00B13DE6" w:rsidRDefault="00B12434" w:rsidP="00B13DE6">
      <w:pPr>
        <w:spacing w:line="480" w:lineRule="auto"/>
        <w:ind w:firstLine="720"/>
        <w:contextualSpacing/>
        <w:jc w:val="both"/>
        <w:rPr>
          <w:rFonts w:ascii="Times New Roman" w:hAnsi="Times New Roman" w:cs="Times New Roman"/>
          <w:sz w:val="24"/>
          <w:szCs w:val="24"/>
        </w:rPr>
      </w:pPr>
      <w:r w:rsidRPr="00182A8C">
        <w:rPr>
          <w:rFonts w:ascii="Times New Roman" w:hAnsi="Times New Roman" w:cs="Times New Roman"/>
          <w:color w:val="1C1E29"/>
          <w:sz w:val="24"/>
          <w:szCs w:val="24"/>
        </w:rPr>
        <w:t>Earnings conf</w:t>
      </w:r>
      <w:r w:rsidR="00E70D81">
        <w:rPr>
          <w:rFonts w:ascii="Times New Roman" w:hAnsi="Times New Roman" w:cs="Times New Roman"/>
          <w:color w:val="1C1E29"/>
          <w:sz w:val="24"/>
          <w:szCs w:val="24"/>
        </w:rPr>
        <w:t xml:space="preserve">erence calls provide managers an opportunity </w:t>
      </w:r>
      <w:r w:rsidRPr="00182A8C">
        <w:rPr>
          <w:rFonts w:ascii="Times New Roman" w:hAnsi="Times New Roman" w:cs="Times New Roman"/>
          <w:color w:val="1C1E29"/>
          <w:sz w:val="24"/>
          <w:szCs w:val="24"/>
        </w:rPr>
        <w:t xml:space="preserve">to </w:t>
      </w:r>
      <w:r w:rsidR="002D6932">
        <w:rPr>
          <w:rFonts w:ascii="Times New Roman" w:hAnsi="Times New Roman" w:cs="Times New Roman"/>
          <w:color w:val="1C1E29"/>
          <w:sz w:val="24"/>
          <w:szCs w:val="24"/>
        </w:rPr>
        <w:t>communicate</w:t>
      </w:r>
      <w:r w:rsidRPr="00182A8C">
        <w:rPr>
          <w:rFonts w:ascii="Times New Roman" w:hAnsi="Times New Roman" w:cs="Times New Roman"/>
          <w:color w:val="1C1E29"/>
          <w:sz w:val="24"/>
          <w:szCs w:val="24"/>
        </w:rPr>
        <w:t xml:space="preserve"> their </w:t>
      </w:r>
      <w:r w:rsidR="002D6932">
        <w:rPr>
          <w:rFonts w:ascii="Times New Roman" w:hAnsi="Times New Roman" w:cs="Times New Roman"/>
          <w:color w:val="1C1E29"/>
          <w:sz w:val="24"/>
          <w:szCs w:val="24"/>
        </w:rPr>
        <w:t>private</w:t>
      </w:r>
      <w:r w:rsidR="002D6932" w:rsidRPr="00182A8C">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forward-looking</w:t>
      </w:r>
      <w:r w:rsidR="003F1806">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information to the market. </w:t>
      </w:r>
      <w:r w:rsidR="00E70D81">
        <w:rPr>
          <w:rFonts w:ascii="Times New Roman" w:hAnsi="Times New Roman" w:cs="Times New Roman"/>
          <w:sz w:val="24"/>
        </w:rPr>
        <w:t xml:space="preserve">Compared </w:t>
      </w:r>
      <w:r w:rsidR="00B13DE6">
        <w:rPr>
          <w:rFonts w:ascii="Times New Roman" w:hAnsi="Times New Roman" w:cs="Times New Roman"/>
          <w:sz w:val="24"/>
        </w:rPr>
        <w:t>to other communication channels</w:t>
      </w:r>
      <w:r w:rsidR="00E70D81">
        <w:rPr>
          <w:rFonts w:ascii="Times New Roman" w:hAnsi="Times New Roman" w:cs="Times New Roman"/>
          <w:sz w:val="24"/>
        </w:rPr>
        <w:t>, earnings c</w:t>
      </w:r>
      <w:r w:rsidR="00E70D81" w:rsidRPr="003557A3">
        <w:rPr>
          <w:rFonts w:ascii="Times New Roman" w:hAnsi="Times New Roman" w:cs="Times New Roman"/>
          <w:sz w:val="24"/>
        </w:rPr>
        <w:t xml:space="preserve">onference calls </w:t>
      </w:r>
      <w:r w:rsidR="00E70D81">
        <w:rPr>
          <w:rFonts w:ascii="Times New Roman" w:hAnsi="Times New Roman" w:cs="Times New Roman"/>
          <w:sz w:val="24"/>
        </w:rPr>
        <w:t>are</w:t>
      </w:r>
      <w:r w:rsidR="00E70D81" w:rsidRPr="003557A3">
        <w:rPr>
          <w:rFonts w:ascii="Times New Roman" w:hAnsi="Times New Roman" w:cs="Times New Roman"/>
          <w:sz w:val="24"/>
        </w:rPr>
        <w:t xml:space="preserve"> simultaneous </w:t>
      </w:r>
      <w:r w:rsidR="00E70D81">
        <w:rPr>
          <w:rFonts w:ascii="Times New Roman" w:hAnsi="Times New Roman" w:cs="Times New Roman"/>
          <w:sz w:val="24"/>
        </w:rPr>
        <w:t xml:space="preserve">and </w:t>
      </w:r>
      <w:r w:rsidR="00E70D81" w:rsidRPr="003557A3">
        <w:rPr>
          <w:rFonts w:ascii="Times New Roman" w:hAnsi="Times New Roman" w:cs="Times New Roman"/>
          <w:sz w:val="24"/>
        </w:rPr>
        <w:t xml:space="preserve">interactive </w:t>
      </w:r>
      <w:r w:rsidR="00B13DE6">
        <w:rPr>
          <w:rFonts w:ascii="Times New Roman" w:hAnsi="Times New Roman" w:cs="Times New Roman"/>
          <w:sz w:val="24"/>
        </w:rPr>
        <w:t>timely</w:t>
      </w:r>
      <w:r w:rsidR="00E70D81">
        <w:rPr>
          <w:rFonts w:ascii="Times New Roman" w:hAnsi="Times New Roman" w:cs="Times New Roman"/>
          <w:sz w:val="24"/>
        </w:rPr>
        <w:t xml:space="preserve"> </w:t>
      </w:r>
      <w:r w:rsidR="00E70D81" w:rsidRPr="003557A3">
        <w:rPr>
          <w:rFonts w:ascii="Times New Roman" w:hAnsi="Times New Roman" w:cs="Times New Roman"/>
          <w:sz w:val="24"/>
        </w:rPr>
        <w:t xml:space="preserve">communication between managers and </w:t>
      </w:r>
      <w:r w:rsidR="00E70D81">
        <w:rPr>
          <w:rFonts w:ascii="Times New Roman" w:hAnsi="Times New Roman" w:cs="Times New Roman"/>
          <w:sz w:val="24"/>
        </w:rPr>
        <w:t>market participants</w:t>
      </w:r>
      <w:r w:rsidR="00B13DE6">
        <w:rPr>
          <w:rFonts w:ascii="Times New Roman" w:hAnsi="Times New Roman" w:cs="Times New Roman"/>
          <w:sz w:val="24"/>
        </w:rPr>
        <w:t xml:space="preserve"> (</w:t>
      </w:r>
      <w:r w:rsidR="00B13DE6" w:rsidRPr="00B13DE6">
        <w:rPr>
          <w:rFonts w:ascii="Times New Roman" w:hAnsi="Times New Roman" w:cs="Times New Roman"/>
          <w:sz w:val="24"/>
        </w:rPr>
        <w:t xml:space="preserve">(Matsumoto et al. 2011; Brown et al. 2015; Jung et al. 2017; </w:t>
      </w:r>
      <w:proofErr w:type="spellStart"/>
      <w:r w:rsidR="00B13DE6" w:rsidRPr="00B13DE6">
        <w:rPr>
          <w:rFonts w:ascii="Times New Roman" w:hAnsi="Times New Roman" w:cs="Times New Roman"/>
          <w:sz w:val="24"/>
        </w:rPr>
        <w:t>Bushee</w:t>
      </w:r>
      <w:proofErr w:type="spellEnd"/>
      <w:r w:rsidR="00B13DE6" w:rsidRPr="00B13DE6">
        <w:rPr>
          <w:rFonts w:ascii="Times New Roman" w:hAnsi="Times New Roman" w:cs="Times New Roman"/>
          <w:sz w:val="24"/>
        </w:rPr>
        <w:t xml:space="preserve"> and Huang 2019</w:t>
      </w:r>
      <w:r w:rsidR="00B13DE6">
        <w:rPr>
          <w:rFonts w:ascii="Times New Roman" w:hAnsi="Times New Roman" w:cs="Times New Roman"/>
          <w:sz w:val="24"/>
        </w:rPr>
        <w:t>)</w:t>
      </w:r>
      <w:r w:rsidR="00E70D81" w:rsidRPr="003557A3">
        <w:rPr>
          <w:rFonts w:ascii="Times New Roman" w:hAnsi="Times New Roman" w:cs="Times New Roman"/>
          <w:sz w:val="24"/>
        </w:rPr>
        <w:t>.</w:t>
      </w:r>
      <w:r w:rsidR="00E70D81">
        <w:rPr>
          <w:rFonts w:ascii="Times New Roman" w:hAnsi="Times New Roman" w:cs="Times New Roman"/>
          <w:b/>
          <w:sz w:val="24"/>
        </w:rPr>
        <w:t xml:space="preserve"> </w:t>
      </w:r>
      <w:r w:rsidR="005432FB">
        <w:rPr>
          <w:rFonts w:ascii="Times New Roman" w:hAnsi="Times New Roman" w:cs="Times New Roman"/>
          <w:sz w:val="24"/>
          <w:szCs w:val="24"/>
        </w:rPr>
        <w:t>Matsumoto et al. (2011)</w:t>
      </w:r>
      <w:r w:rsidR="005432FB" w:rsidRPr="00A77965">
        <w:rPr>
          <w:rFonts w:ascii="Times New Roman" w:hAnsi="Times New Roman" w:cs="Times New Roman"/>
          <w:sz w:val="24"/>
          <w:szCs w:val="24"/>
        </w:rPr>
        <w:t xml:space="preserve">, who study </w:t>
      </w:r>
      <w:r w:rsidR="00B13DE6">
        <w:rPr>
          <w:rFonts w:ascii="Times New Roman" w:hAnsi="Times New Roman" w:cs="Times New Roman"/>
          <w:sz w:val="24"/>
          <w:szCs w:val="24"/>
        </w:rPr>
        <w:t xml:space="preserve">earnings </w:t>
      </w:r>
      <w:r w:rsidR="005432FB" w:rsidRPr="00A77965">
        <w:rPr>
          <w:rFonts w:ascii="Times New Roman" w:hAnsi="Times New Roman" w:cs="Times New Roman"/>
          <w:sz w:val="24"/>
          <w:szCs w:val="24"/>
        </w:rPr>
        <w:t>conference calls and note that “the lack of earnings guidance when performance is poor is not due to a lack of future-oriented discussion”</w:t>
      </w:r>
      <w:r w:rsidR="005432FB">
        <w:rPr>
          <w:rFonts w:ascii="Times New Roman" w:hAnsi="Times New Roman" w:cs="Times New Roman"/>
          <w:sz w:val="24"/>
          <w:szCs w:val="24"/>
        </w:rPr>
        <w:t xml:space="preserve"> (Matsumoto et al. 2011, 29)</w:t>
      </w:r>
      <w:r w:rsidR="005432FB" w:rsidRPr="00A77965">
        <w:rPr>
          <w:rFonts w:ascii="Times New Roman" w:hAnsi="Times New Roman" w:cs="Times New Roman"/>
          <w:sz w:val="24"/>
          <w:szCs w:val="24"/>
        </w:rPr>
        <w:t>.</w:t>
      </w:r>
      <w:r w:rsidR="005432FB">
        <w:rPr>
          <w:rFonts w:ascii="Times New Roman" w:hAnsi="Times New Roman" w:cs="Times New Roman"/>
          <w:sz w:val="24"/>
          <w:szCs w:val="24"/>
        </w:rPr>
        <w:t xml:space="preserve"> </w:t>
      </w:r>
      <w:r w:rsidR="00297585">
        <w:rPr>
          <w:rFonts w:ascii="Times New Roman" w:eastAsia="Times New Roman" w:hAnsi="Times New Roman" w:cs="Times New Roman"/>
          <w:iCs/>
          <w:color w:val="000000"/>
          <w:sz w:val="24"/>
          <w:szCs w:val="24"/>
        </w:rPr>
        <w:t>While p</w:t>
      </w:r>
      <w:r w:rsidR="00297585" w:rsidRPr="00115140">
        <w:rPr>
          <w:rFonts w:ascii="Times New Roman" w:eastAsia="Times New Roman" w:hAnsi="Times New Roman" w:cs="Times New Roman"/>
          <w:iCs/>
          <w:color w:val="000000"/>
          <w:sz w:val="24"/>
          <w:szCs w:val="24"/>
        </w:rPr>
        <w:t xml:space="preserve">rior research indicates that </w:t>
      </w:r>
      <w:r w:rsidR="00297585">
        <w:rPr>
          <w:rFonts w:ascii="Times New Roman" w:eastAsia="Times New Roman" w:hAnsi="Times New Roman" w:cs="Times New Roman"/>
          <w:iCs/>
          <w:color w:val="000000"/>
          <w:sz w:val="24"/>
          <w:szCs w:val="24"/>
        </w:rPr>
        <w:t>managers might be</w:t>
      </w:r>
      <w:r w:rsidR="00297585" w:rsidRPr="00115140">
        <w:rPr>
          <w:rFonts w:ascii="Times New Roman" w:eastAsia="Times New Roman" w:hAnsi="Times New Roman" w:cs="Times New Roman"/>
          <w:iCs/>
          <w:color w:val="000000"/>
          <w:sz w:val="24"/>
          <w:szCs w:val="24"/>
        </w:rPr>
        <w:t xml:space="preserve"> reluctant to disclose forward-looking information </w:t>
      </w:r>
      <w:r w:rsidR="00B13DE6">
        <w:rPr>
          <w:rFonts w:ascii="Times New Roman" w:eastAsia="Times New Roman" w:hAnsi="Times New Roman" w:cs="Times New Roman"/>
          <w:iCs/>
          <w:color w:val="000000"/>
          <w:sz w:val="24"/>
          <w:szCs w:val="24"/>
        </w:rPr>
        <w:t>considering</w:t>
      </w:r>
      <w:r w:rsidR="00297585" w:rsidRPr="00115140">
        <w:rPr>
          <w:rFonts w:ascii="Times New Roman" w:eastAsia="Times New Roman" w:hAnsi="Times New Roman" w:cs="Times New Roman"/>
          <w:iCs/>
          <w:color w:val="000000"/>
          <w:sz w:val="24"/>
          <w:szCs w:val="24"/>
        </w:rPr>
        <w:t xml:space="preserve"> its inherent uncertainty (Penman 1980;</w:t>
      </w:r>
      <w:r w:rsidR="00297585">
        <w:rPr>
          <w:rFonts w:ascii="Times New Roman" w:eastAsia="Times New Roman" w:hAnsi="Times New Roman" w:cs="Times New Roman"/>
          <w:iCs/>
          <w:color w:val="000000"/>
          <w:sz w:val="24"/>
          <w:szCs w:val="24"/>
        </w:rPr>
        <w:t xml:space="preserve"> </w:t>
      </w:r>
      <w:r w:rsidR="00297585" w:rsidRPr="00115140">
        <w:rPr>
          <w:rFonts w:ascii="Times New Roman" w:eastAsia="Times New Roman" w:hAnsi="Times New Roman" w:cs="Times New Roman"/>
          <w:iCs/>
          <w:color w:val="000000"/>
          <w:sz w:val="24"/>
          <w:szCs w:val="24"/>
        </w:rPr>
        <w:t xml:space="preserve">Rogers and </w:t>
      </w:r>
      <w:proofErr w:type="spellStart"/>
      <w:r w:rsidR="00297585" w:rsidRPr="00115140">
        <w:rPr>
          <w:rFonts w:ascii="Times New Roman" w:eastAsia="Times New Roman" w:hAnsi="Times New Roman" w:cs="Times New Roman"/>
          <w:iCs/>
          <w:color w:val="000000"/>
          <w:sz w:val="24"/>
          <w:szCs w:val="24"/>
        </w:rPr>
        <w:t>Stocken</w:t>
      </w:r>
      <w:proofErr w:type="spellEnd"/>
      <w:r w:rsidR="00297585" w:rsidRPr="00115140">
        <w:rPr>
          <w:rFonts w:ascii="Times New Roman" w:eastAsia="Times New Roman" w:hAnsi="Times New Roman" w:cs="Times New Roman"/>
          <w:iCs/>
          <w:color w:val="000000"/>
          <w:sz w:val="24"/>
          <w:szCs w:val="24"/>
        </w:rPr>
        <w:t xml:space="preserve"> 2005</w:t>
      </w:r>
      <w:r w:rsidR="00297585">
        <w:rPr>
          <w:rFonts w:ascii="Times New Roman" w:eastAsia="Times New Roman" w:hAnsi="Times New Roman" w:cs="Times New Roman"/>
          <w:iCs/>
          <w:color w:val="000000"/>
          <w:sz w:val="24"/>
          <w:szCs w:val="24"/>
        </w:rPr>
        <w:t>), but if they do, f</w:t>
      </w:r>
      <w:r w:rsidR="00297585" w:rsidRPr="00786E28">
        <w:rPr>
          <w:rFonts w:ascii="Times New Roman" w:eastAsia="Times New Roman" w:hAnsi="Times New Roman" w:cs="Times New Roman"/>
          <w:iCs/>
          <w:color w:val="000000"/>
          <w:sz w:val="24"/>
          <w:szCs w:val="24"/>
        </w:rPr>
        <w:t xml:space="preserve">orward-looking disclosures are especially relevant for valuation and forecasting, as they provide information directly </w:t>
      </w:r>
      <w:r w:rsidR="00441325">
        <w:rPr>
          <w:rFonts w:ascii="Times New Roman" w:eastAsia="Times New Roman" w:hAnsi="Times New Roman" w:cs="Times New Roman"/>
          <w:iCs/>
          <w:color w:val="000000"/>
          <w:sz w:val="24"/>
          <w:szCs w:val="24"/>
        </w:rPr>
        <w:t>applicable to</w:t>
      </w:r>
      <w:r w:rsidR="00297585" w:rsidRPr="00786E28">
        <w:rPr>
          <w:rFonts w:ascii="Times New Roman" w:eastAsia="Times New Roman" w:hAnsi="Times New Roman" w:cs="Times New Roman"/>
          <w:iCs/>
          <w:color w:val="000000"/>
          <w:sz w:val="24"/>
          <w:szCs w:val="24"/>
        </w:rPr>
        <w:t xml:space="preserve"> investors’ </w:t>
      </w:r>
      <w:r w:rsidR="00297585">
        <w:rPr>
          <w:rFonts w:ascii="Times New Roman" w:eastAsia="Times New Roman" w:hAnsi="Times New Roman" w:cs="Times New Roman"/>
          <w:iCs/>
          <w:color w:val="000000"/>
          <w:sz w:val="24"/>
          <w:szCs w:val="24"/>
        </w:rPr>
        <w:t xml:space="preserve">and analysts’ </w:t>
      </w:r>
      <w:r w:rsidR="00297585" w:rsidRPr="00786E28">
        <w:rPr>
          <w:rFonts w:ascii="Times New Roman" w:eastAsia="Times New Roman" w:hAnsi="Times New Roman" w:cs="Times New Roman"/>
          <w:iCs/>
          <w:color w:val="000000"/>
          <w:sz w:val="24"/>
          <w:szCs w:val="24"/>
        </w:rPr>
        <w:t xml:space="preserve">valuation models (Li 2010; </w:t>
      </w:r>
      <w:proofErr w:type="spellStart"/>
      <w:r w:rsidR="00297585" w:rsidRPr="00786E28">
        <w:rPr>
          <w:rFonts w:ascii="Times New Roman" w:eastAsia="Times New Roman" w:hAnsi="Times New Roman" w:cs="Times New Roman"/>
          <w:iCs/>
          <w:color w:val="000000"/>
          <w:sz w:val="24"/>
          <w:szCs w:val="24"/>
        </w:rPr>
        <w:t>Muslu</w:t>
      </w:r>
      <w:proofErr w:type="spellEnd"/>
      <w:r w:rsidR="00297585" w:rsidRPr="00786E28">
        <w:rPr>
          <w:rFonts w:ascii="Times New Roman" w:eastAsia="Times New Roman" w:hAnsi="Times New Roman" w:cs="Times New Roman"/>
          <w:iCs/>
          <w:color w:val="000000"/>
          <w:sz w:val="24"/>
          <w:szCs w:val="24"/>
        </w:rPr>
        <w:t xml:space="preserve">, Radhakrishnan, Subramanyam, and Lim 2015; </w:t>
      </w:r>
      <w:proofErr w:type="spellStart"/>
      <w:r w:rsidR="00297585" w:rsidRPr="00786E28">
        <w:rPr>
          <w:rFonts w:ascii="Times New Roman" w:eastAsia="Times New Roman" w:hAnsi="Times New Roman" w:cs="Times New Roman"/>
          <w:iCs/>
          <w:color w:val="000000"/>
          <w:sz w:val="24"/>
          <w:szCs w:val="24"/>
        </w:rPr>
        <w:t>Bozanic</w:t>
      </w:r>
      <w:proofErr w:type="spellEnd"/>
      <w:r w:rsidR="00297585" w:rsidRPr="00786E28">
        <w:rPr>
          <w:rFonts w:ascii="Times New Roman" w:eastAsia="Times New Roman" w:hAnsi="Times New Roman" w:cs="Times New Roman"/>
          <w:iCs/>
          <w:color w:val="000000"/>
          <w:sz w:val="24"/>
          <w:szCs w:val="24"/>
        </w:rPr>
        <w:t xml:space="preserve"> et al. 2018). </w:t>
      </w:r>
      <w:r w:rsidR="00B13DE6">
        <w:rPr>
          <w:rFonts w:ascii="Times New Roman" w:eastAsia="Times New Roman" w:hAnsi="Times New Roman" w:cs="Times New Roman"/>
          <w:iCs/>
          <w:color w:val="000000"/>
          <w:sz w:val="24"/>
          <w:szCs w:val="24"/>
        </w:rPr>
        <w:t>Therefore, m</w:t>
      </w:r>
      <w:r w:rsidR="005432FB" w:rsidRPr="005432FB">
        <w:rPr>
          <w:rFonts w:ascii="Times New Roman" w:hAnsi="Times New Roman" w:cs="Times New Roman"/>
          <w:sz w:val="24"/>
          <w:szCs w:val="24"/>
        </w:rPr>
        <w:t xml:space="preserve">anagers making confident and </w:t>
      </w:r>
      <w:r w:rsidR="00441325">
        <w:rPr>
          <w:rFonts w:ascii="Times New Roman" w:hAnsi="Times New Roman" w:cs="Times New Roman"/>
          <w:sz w:val="24"/>
          <w:szCs w:val="24"/>
        </w:rPr>
        <w:t>optimistic</w:t>
      </w:r>
      <w:r w:rsidR="005432FB" w:rsidRPr="005432FB">
        <w:rPr>
          <w:rFonts w:ascii="Times New Roman" w:hAnsi="Times New Roman" w:cs="Times New Roman"/>
          <w:sz w:val="24"/>
          <w:szCs w:val="24"/>
        </w:rPr>
        <w:t xml:space="preserve"> projections that have the potential to increase their stock price</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and liquidity face a trade-off between these potential benefits and cost</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(such as </w:t>
      </w:r>
      <w:r w:rsidR="00B13DE6">
        <w:rPr>
          <w:rFonts w:ascii="Times New Roman" w:hAnsi="Times New Roman" w:cs="Times New Roman"/>
          <w:sz w:val="24"/>
          <w:szCs w:val="24"/>
        </w:rPr>
        <w:t>potential</w:t>
      </w:r>
      <w:r w:rsidR="005432FB" w:rsidRPr="005432FB">
        <w:rPr>
          <w:rFonts w:ascii="Times New Roman" w:hAnsi="Times New Roman" w:cs="Times New Roman"/>
          <w:sz w:val="24"/>
          <w:szCs w:val="24"/>
        </w:rPr>
        <w:t xml:space="preserve"> </w:t>
      </w:r>
      <w:r w:rsidR="00B13DE6">
        <w:rPr>
          <w:rFonts w:ascii="Times New Roman" w:hAnsi="Times New Roman" w:cs="Times New Roman"/>
          <w:sz w:val="24"/>
          <w:szCs w:val="24"/>
        </w:rPr>
        <w:t xml:space="preserve">accountability or </w:t>
      </w:r>
      <w:r w:rsidR="005432FB" w:rsidRPr="005432FB">
        <w:rPr>
          <w:rFonts w:ascii="Times New Roman" w:hAnsi="Times New Roman" w:cs="Times New Roman"/>
          <w:sz w:val="24"/>
          <w:szCs w:val="24"/>
        </w:rPr>
        <w:t>litigation) that may arise</w:t>
      </w:r>
      <w:r w:rsidR="00B13DE6">
        <w:rPr>
          <w:rFonts w:ascii="Times New Roman" w:hAnsi="Times New Roman" w:cs="Times New Roman"/>
          <w:sz w:val="24"/>
          <w:szCs w:val="24"/>
        </w:rPr>
        <w:t>,</w:t>
      </w:r>
      <w:r w:rsidR="005432FB" w:rsidRPr="005432FB">
        <w:rPr>
          <w:rFonts w:ascii="Times New Roman" w:hAnsi="Times New Roman" w:cs="Times New Roman"/>
          <w:sz w:val="24"/>
          <w:szCs w:val="24"/>
        </w:rPr>
        <w:t xml:space="preserve"> if actual results vary from those unattained projections. </w:t>
      </w:r>
    </w:p>
    <w:p w14:paraId="2C6BE9E7" w14:textId="476E9B7C" w:rsidR="00D231D5" w:rsidRDefault="003A15CE" w:rsidP="00B13DE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5432FB" w:rsidRPr="005432FB">
        <w:rPr>
          <w:rFonts w:ascii="Times New Roman" w:hAnsi="Times New Roman" w:cs="Times New Roman"/>
          <w:sz w:val="24"/>
          <w:szCs w:val="24"/>
        </w:rPr>
        <w:t xml:space="preserve">rior studies find that managers are more likely to provide their private </w:t>
      </w:r>
      <w:r w:rsidR="00D231D5">
        <w:rPr>
          <w:rFonts w:ascii="Times New Roman" w:hAnsi="Times New Roman" w:cs="Times New Roman"/>
          <w:sz w:val="24"/>
          <w:szCs w:val="24"/>
        </w:rPr>
        <w:t xml:space="preserve">forward-looking </w:t>
      </w:r>
      <w:r w:rsidR="005432FB" w:rsidRPr="005432FB">
        <w:rPr>
          <w:rFonts w:ascii="Times New Roman" w:hAnsi="Times New Roman" w:cs="Times New Roman"/>
          <w:sz w:val="24"/>
          <w:szCs w:val="24"/>
        </w:rPr>
        <w:t xml:space="preserve">information about firm future performance when they expect </w:t>
      </w:r>
      <w:r w:rsidR="00D231D5">
        <w:rPr>
          <w:rFonts w:ascii="Times New Roman" w:hAnsi="Times New Roman" w:cs="Times New Roman"/>
          <w:sz w:val="24"/>
          <w:szCs w:val="24"/>
        </w:rPr>
        <w:t xml:space="preserve">prosperous </w:t>
      </w:r>
      <w:r w:rsidR="005432FB">
        <w:rPr>
          <w:rFonts w:ascii="Times New Roman" w:hAnsi="Times New Roman" w:cs="Times New Roman"/>
          <w:sz w:val="24"/>
          <w:szCs w:val="24"/>
        </w:rPr>
        <w:t>growth (</w:t>
      </w:r>
      <w:proofErr w:type="spellStart"/>
      <w:r w:rsidR="005432FB">
        <w:rPr>
          <w:rFonts w:ascii="Times New Roman" w:hAnsi="Times New Roman" w:cs="Times New Roman"/>
          <w:sz w:val="24"/>
          <w:szCs w:val="24"/>
        </w:rPr>
        <w:t>Bushee</w:t>
      </w:r>
      <w:proofErr w:type="spellEnd"/>
      <w:r w:rsidR="005432FB">
        <w:rPr>
          <w:rFonts w:ascii="Times New Roman" w:hAnsi="Times New Roman" w:cs="Times New Roman"/>
          <w:sz w:val="24"/>
          <w:szCs w:val="24"/>
        </w:rPr>
        <w:t xml:space="preserve"> and Huang 2019)</w:t>
      </w:r>
      <w:r w:rsidR="00B13DE6">
        <w:rPr>
          <w:rFonts w:ascii="Times New Roman" w:hAnsi="Times New Roman" w:cs="Times New Roman"/>
          <w:sz w:val="24"/>
          <w:szCs w:val="24"/>
        </w:rPr>
        <w:t xml:space="preserve"> </w:t>
      </w:r>
      <w:r w:rsidR="00D231D5">
        <w:rPr>
          <w:rFonts w:ascii="Times New Roman" w:hAnsi="Times New Roman" w:cs="Times New Roman"/>
          <w:sz w:val="24"/>
          <w:szCs w:val="24"/>
        </w:rPr>
        <w:t xml:space="preserve">and </w:t>
      </w:r>
      <w:r w:rsidR="00B13DE6">
        <w:rPr>
          <w:rFonts w:ascii="Times New Roman" w:hAnsi="Times New Roman" w:cs="Times New Roman"/>
          <w:sz w:val="24"/>
          <w:szCs w:val="24"/>
        </w:rPr>
        <w:t xml:space="preserve">when they expect the future uncertainty </w:t>
      </w:r>
      <w:r w:rsidR="00D231D5">
        <w:rPr>
          <w:rFonts w:ascii="Times New Roman" w:hAnsi="Times New Roman" w:cs="Times New Roman"/>
          <w:sz w:val="24"/>
          <w:szCs w:val="24"/>
        </w:rPr>
        <w:t xml:space="preserve">to be </w:t>
      </w:r>
      <w:r w:rsidR="00B13DE6">
        <w:rPr>
          <w:rFonts w:ascii="Times New Roman" w:hAnsi="Times New Roman" w:cs="Times New Roman"/>
          <w:sz w:val="24"/>
          <w:szCs w:val="24"/>
        </w:rPr>
        <w:t>lower (</w:t>
      </w:r>
      <w:proofErr w:type="spellStart"/>
      <w:r w:rsidR="00B13DE6">
        <w:rPr>
          <w:rFonts w:ascii="Times New Roman" w:hAnsi="Times New Roman" w:cs="Times New Roman"/>
          <w:sz w:val="24"/>
          <w:szCs w:val="24"/>
        </w:rPr>
        <w:t>Bozanic</w:t>
      </w:r>
      <w:proofErr w:type="spellEnd"/>
      <w:r w:rsidR="00B13DE6">
        <w:rPr>
          <w:rFonts w:ascii="Times New Roman" w:hAnsi="Times New Roman" w:cs="Times New Roman"/>
          <w:sz w:val="24"/>
          <w:szCs w:val="24"/>
        </w:rPr>
        <w:t xml:space="preserve"> et al. 2018)</w:t>
      </w:r>
      <w:r w:rsidR="005432FB">
        <w:rPr>
          <w:rFonts w:ascii="Times New Roman" w:hAnsi="Times New Roman" w:cs="Times New Roman"/>
          <w:sz w:val="24"/>
          <w:szCs w:val="24"/>
        </w:rPr>
        <w:t xml:space="preserve">. </w:t>
      </w:r>
      <w:r w:rsidR="00BD652B" w:rsidRPr="00BD652B">
        <w:rPr>
          <w:rFonts w:ascii="Times New Roman" w:hAnsi="Times New Roman" w:cs="Times New Roman"/>
          <w:sz w:val="24"/>
          <w:szCs w:val="24"/>
        </w:rPr>
        <w:t xml:space="preserve">Although federal securities laws provide shareholders the ability to take legal action against managers who abuse the discretion of forward-looking disclosure (e.g., </w:t>
      </w:r>
      <w:proofErr w:type="spellStart"/>
      <w:r w:rsidR="00BD652B" w:rsidRPr="00BD652B">
        <w:rPr>
          <w:rFonts w:ascii="Times New Roman" w:hAnsi="Times New Roman" w:cs="Times New Roman"/>
          <w:sz w:val="24"/>
          <w:szCs w:val="24"/>
        </w:rPr>
        <w:t>Cazier</w:t>
      </w:r>
      <w:proofErr w:type="spellEnd"/>
      <w:r w:rsidR="00BD652B" w:rsidRPr="00BD652B">
        <w:rPr>
          <w:rFonts w:ascii="Times New Roman" w:hAnsi="Times New Roman" w:cs="Times New Roman"/>
          <w:sz w:val="24"/>
          <w:szCs w:val="24"/>
        </w:rPr>
        <w:t xml:space="preserve"> et al. 2020), </w:t>
      </w:r>
      <w:r w:rsidR="00BD652B" w:rsidRPr="00BD652B">
        <w:rPr>
          <w:rFonts w:ascii="Times New Roman" w:hAnsi="Times New Roman" w:cs="Times New Roman"/>
          <w:sz w:val="24"/>
          <w:szCs w:val="24"/>
        </w:rPr>
        <w:lastRenderedPageBreak/>
        <w:t>managers have significant discretion over the extent, content, and language of their forward-looking disclosures thr</w:t>
      </w:r>
      <w:r w:rsidR="00D231D5">
        <w:rPr>
          <w:rFonts w:ascii="Times New Roman" w:hAnsi="Times New Roman" w:cs="Times New Roman"/>
          <w:sz w:val="24"/>
          <w:szCs w:val="24"/>
        </w:rPr>
        <w:t xml:space="preserve">ough earnings conference calls. This raises the concern of investor </w:t>
      </w:r>
      <w:r w:rsidR="004B1ED6">
        <w:rPr>
          <w:rFonts w:ascii="Times New Roman" w:hAnsi="Times New Roman" w:cs="Times New Roman"/>
          <w:sz w:val="24"/>
          <w:szCs w:val="24"/>
        </w:rPr>
        <w:t xml:space="preserve">interest </w:t>
      </w:r>
      <w:r w:rsidR="00D231D5">
        <w:rPr>
          <w:rFonts w:ascii="Times New Roman" w:hAnsi="Times New Roman" w:cs="Times New Roman"/>
          <w:sz w:val="24"/>
          <w:szCs w:val="24"/>
        </w:rPr>
        <w:t>protection because inaccurate forward-looking statements ca</w:t>
      </w:r>
      <w:r w:rsidR="004B1ED6">
        <w:rPr>
          <w:rFonts w:ascii="Times New Roman" w:hAnsi="Times New Roman" w:cs="Times New Roman"/>
          <w:sz w:val="24"/>
          <w:szCs w:val="24"/>
        </w:rPr>
        <w:t xml:space="preserve">n effectively mislead investors’ </w:t>
      </w:r>
      <w:r w:rsidR="00D231D5">
        <w:rPr>
          <w:rFonts w:ascii="Times New Roman" w:hAnsi="Times New Roman" w:cs="Times New Roman"/>
          <w:sz w:val="24"/>
          <w:szCs w:val="24"/>
        </w:rPr>
        <w:t xml:space="preserve">judgment about the firm </w:t>
      </w:r>
      <w:r w:rsidR="004B1ED6">
        <w:rPr>
          <w:rFonts w:ascii="Times New Roman" w:hAnsi="Times New Roman" w:cs="Times New Roman"/>
          <w:sz w:val="24"/>
          <w:szCs w:val="24"/>
        </w:rPr>
        <w:t xml:space="preserve">future </w:t>
      </w:r>
      <w:r w:rsidR="00D231D5">
        <w:rPr>
          <w:rFonts w:ascii="Times New Roman" w:hAnsi="Times New Roman" w:cs="Times New Roman"/>
          <w:sz w:val="24"/>
          <w:szCs w:val="24"/>
        </w:rPr>
        <w:t>valuation, especially when misleading information is intentionally issued by managers and is unverifiable (</w:t>
      </w:r>
      <w:proofErr w:type="spellStart"/>
      <w:r w:rsidR="00D231D5">
        <w:rPr>
          <w:rFonts w:ascii="Times New Roman" w:hAnsi="Times New Roman" w:cs="Times New Roman"/>
          <w:sz w:val="24"/>
          <w:szCs w:val="24"/>
        </w:rPr>
        <w:t>Asay</w:t>
      </w:r>
      <w:proofErr w:type="spellEnd"/>
      <w:r w:rsidR="00D231D5">
        <w:rPr>
          <w:rFonts w:ascii="Times New Roman" w:hAnsi="Times New Roman" w:cs="Times New Roman"/>
          <w:sz w:val="24"/>
          <w:szCs w:val="24"/>
        </w:rPr>
        <w:t xml:space="preserve"> and Hales 2018</w:t>
      </w:r>
      <w:r w:rsidR="004B1ED6">
        <w:rPr>
          <w:rFonts w:ascii="Times New Roman" w:hAnsi="Times New Roman" w:cs="Times New Roman"/>
          <w:sz w:val="24"/>
          <w:szCs w:val="24"/>
        </w:rPr>
        <w:t>; SEC 2013</w:t>
      </w:r>
      <w:r w:rsidR="00D231D5">
        <w:rPr>
          <w:rFonts w:ascii="Times New Roman" w:hAnsi="Times New Roman" w:cs="Times New Roman"/>
          <w:sz w:val="24"/>
          <w:szCs w:val="24"/>
        </w:rPr>
        <w:t>)</w:t>
      </w:r>
      <w:r w:rsidR="004B1ED6">
        <w:rPr>
          <w:rFonts w:ascii="Times New Roman" w:hAnsi="Times New Roman" w:cs="Times New Roman"/>
          <w:sz w:val="24"/>
          <w:szCs w:val="24"/>
        </w:rPr>
        <w:t xml:space="preserve">. </w:t>
      </w:r>
    </w:p>
    <w:p w14:paraId="21BDE958" w14:textId="093363D0" w:rsidR="00B12434" w:rsidRDefault="00D72F9B" w:rsidP="00D72F9B">
      <w:pPr>
        <w:autoSpaceDE w:val="0"/>
        <w:autoSpaceDN w:val="0"/>
        <w:adjustRightInd w:val="0"/>
        <w:spacing w:line="480" w:lineRule="auto"/>
        <w:ind w:firstLine="720"/>
        <w:contextualSpacing/>
        <w:jc w:val="both"/>
        <w:rPr>
          <w:rFonts w:ascii="Times New Roman" w:hAnsi="Times New Roman" w:cs="Times New Roman"/>
          <w:color w:val="1C1E29"/>
          <w:sz w:val="24"/>
          <w:szCs w:val="24"/>
        </w:rPr>
      </w:pPr>
      <w:r w:rsidRPr="00FA766F">
        <w:rPr>
          <w:rFonts w:ascii="Times New Roman" w:hAnsi="Times New Roman" w:cs="Times New Roman"/>
          <w:sz w:val="24"/>
          <w:szCs w:val="24"/>
        </w:rPr>
        <w:t>Firms applying more conservative</w:t>
      </w:r>
      <w:r>
        <w:rPr>
          <w:rFonts w:ascii="Times New Roman" w:hAnsi="Times New Roman" w:cs="Times New Roman"/>
          <w:sz w:val="24"/>
          <w:szCs w:val="24"/>
        </w:rPr>
        <w:t xml:space="preserve"> </w:t>
      </w:r>
      <w:r w:rsidRPr="00FA766F">
        <w:rPr>
          <w:rFonts w:ascii="Times New Roman" w:hAnsi="Times New Roman" w:cs="Times New Roman"/>
          <w:sz w:val="24"/>
          <w:szCs w:val="24"/>
        </w:rPr>
        <w:t xml:space="preserve">reporting mitigate the non-verifiable concerns related </w:t>
      </w:r>
      <w:r>
        <w:rPr>
          <w:rFonts w:ascii="Times New Roman" w:hAnsi="Times New Roman" w:cs="Times New Roman"/>
          <w:sz w:val="24"/>
          <w:szCs w:val="24"/>
        </w:rPr>
        <w:t xml:space="preserve">to </w:t>
      </w:r>
      <w:r w:rsidRPr="00FA766F">
        <w:rPr>
          <w:rFonts w:ascii="Times New Roman" w:hAnsi="Times New Roman" w:cs="Times New Roman"/>
          <w:sz w:val="24"/>
          <w:szCs w:val="24"/>
        </w:rPr>
        <w:t>the forward-looking statements in their conference calls.</w:t>
      </w:r>
      <w:r>
        <w:rPr>
          <w:rFonts w:ascii="Times New Roman" w:hAnsi="Times New Roman" w:cs="Times New Roman"/>
          <w:sz w:val="24"/>
          <w:szCs w:val="24"/>
        </w:rPr>
        <w:t xml:space="preserve"> </w:t>
      </w:r>
      <w:r w:rsidRPr="00B12434">
        <w:rPr>
          <w:rFonts w:ascii="Times New Roman" w:hAnsi="Times New Roman" w:cs="Times New Roman"/>
          <w:color w:val="1C1E29"/>
          <w:sz w:val="24"/>
          <w:szCs w:val="24"/>
        </w:rPr>
        <w:t xml:space="preserve">Financial reporting based on highly verifiable information </w:t>
      </w:r>
      <w:r>
        <w:rPr>
          <w:rFonts w:ascii="Times New Roman" w:hAnsi="Times New Roman" w:cs="Times New Roman"/>
          <w:color w:val="1C1E29"/>
          <w:sz w:val="24"/>
          <w:szCs w:val="24"/>
        </w:rPr>
        <w:t xml:space="preserve">demands </w:t>
      </w:r>
      <w:r w:rsidRPr="00B12434">
        <w:rPr>
          <w:rFonts w:ascii="Times New Roman" w:hAnsi="Times New Roman" w:cs="Times New Roman"/>
          <w:color w:val="1C1E29"/>
          <w:sz w:val="24"/>
          <w:szCs w:val="24"/>
        </w:rPr>
        <w:t>m</w:t>
      </w:r>
      <w:r>
        <w:rPr>
          <w:rFonts w:ascii="Times New Roman" w:hAnsi="Times New Roman" w:cs="Times New Roman"/>
          <w:color w:val="1C1E29"/>
          <w:sz w:val="24"/>
          <w:szCs w:val="24"/>
        </w:rPr>
        <w:t xml:space="preserve">anagers to implicitly contract or commit </w:t>
      </w:r>
      <w:r w:rsidRPr="00B12434">
        <w:rPr>
          <w:rFonts w:ascii="Times New Roman" w:hAnsi="Times New Roman" w:cs="Times New Roman"/>
          <w:color w:val="1C1E29"/>
          <w:sz w:val="24"/>
          <w:szCs w:val="24"/>
        </w:rPr>
        <w:t>to</w:t>
      </w:r>
      <w:r>
        <w:rPr>
          <w:rFonts w:ascii="Times New Roman" w:hAnsi="Times New Roman" w:cs="Times New Roman"/>
          <w:color w:val="1C1E29"/>
          <w:sz w:val="24"/>
          <w:szCs w:val="24"/>
        </w:rPr>
        <w:t xml:space="preserve"> </w:t>
      </w:r>
      <w:r w:rsidRPr="00B12434">
        <w:rPr>
          <w:rFonts w:ascii="Times New Roman" w:hAnsi="Times New Roman" w:cs="Times New Roman"/>
          <w:color w:val="1C1E29"/>
          <w:sz w:val="24"/>
          <w:szCs w:val="24"/>
        </w:rPr>
        <w:t>truthfully disclos</w:t>
      </w:r>
      <w:r>
        <w:rPr>
          <w:rFonts w:ascii="Times New Roman" w:hAnsi="Times New Roman" w:cs="Times New Roman"/>
          <w:color w:val="1C1E29"/>
          <w:sz w:val="24"/>
          <w:szCs w:val="24"/>
        </w:rPr>
        <w:t>ing</w:t>
      </w:r>
      <w:r w:rsidRPr="00B12434">
        <w:rPr>
          <w:rFonts w:ascii="Times New Roman" w:hAnsi="Times New Roman" w:cs="Times New Roman"/>
          <w:color w:val="1C1E29"/>
          <w:sz w:val="24"/>
          <w:szCs w:val="24"/>
        </w:rPr>
        <w:t xml:space="preserve"> unverifiable information (Ball, Jayaraman and </w:t>
      </w:r>
      <w:proofErr w:type="spellStart"/>
      <w:r w:rsidRPr="00B12434">
        <w:rPr>
          <w:rFonts w:ascii="Times New Roman" w:hAnsi="Times New Roman" w:cs="Times New Roman"/>
          <w:color w:val="1C1E29"/>
          <w:sz w:val="24"/>
          <w:szCs w:val="24"/>
        </w:rPr>
        <w:t>Shivakumar</w:t>
      </w:r>
      <w:proofErr w:type="spellEnd"/>
      <w:r w:rsidRPr="00B12434">
        <w:rPr>
          <w:rFonts w:ascii="Times New Roman" w:hAnsi="Times New Roman" w:cs="Times New Roman"/>
          <w:color w:val="1C1E29"/>
          <w:sz w:val="24"/>
          <w:szCs w:val="24"/>
        </w:rPr>
        <w:t xml:space="preserve"> 2012).</w:t>
      </w:r>
      <w:r w:rsidRPr="00182A8C">
        <w:rPr>
          <w:rFonts w:ascii="Times New Roman" w:hAnsi="Times New Roman" w:cs="Times New Roman"/>
          <w:color w:val="1C1E29"/>
          <w:sz w:val="24"/>
          <w:szCs w:val="24"/>
        </w:rPr>
        <w:t xml:space="preserve"> </w:t>
      </w:r>
      <w:r w:rsidRPr="00FA766F">
        <w:rPr>
          <w:rFonts w:ascii="Times New Roman" w:hAnsi="Times New Roman" w:cs="Times New Roman"/>
          <w:sz w:val="24"/>
          <w:szCs w:val="24"/>
        </w:rPr>
        <w:t>B</w:t>
      </w:r>
      <w:r w:rsidRPr="00FA766F">
        <w:rPr>
          <w:rFonts w:ascii="Times New Roman" w:eastAsia="Times New Roman" w:hAnsi="Times New Roman" w:cs="Times New Roman"/>
          <w:color w:val="000000"/>
          <w:sz w:val="24"/>
          <w:szCs w:val="24"/>
        </w:rPr>
        <w:t xml:space="preserve">y its nature, conservative accounting provides verifiable, “hard” information that can be used as a benchmark for evaluating the credibility of alternative sources of unverifiable, “soft” information, such as forward-looking </w:t>
      </w:r>
      <w:r>
        <w:rPr>
          <w:rFonts w:ascii="Times New Roman" w:eastAsia="Times New Roman" w:hAnsi="Times New Roman" w:cs="Times New Roman"/>
          <w:color w:val="000000"/>
          <w:sz w:val="24"/>
          <w:szCs w:val="24"/>
        </w:rPr>
        <w:t xml:space="preserve">projections about </w:t>
      </w:r>
      <w:r w:rsidRPr="00FA766F">
        <w:rPr>
          <w:rFonts w:ascii="Times New Roman" w:eastAsia="Times New Roman" w:hAnsi="Times New Roman" w:cs="Times New Roman"/>
          <w:color w:val="000000"/>
          <w:sz w:val="24"/>
          <w:szCs w:val="24"/>
        </w:rPr>
        <w:t>firm future growth</w:t>
      </w:r>
      <w:r w:rsidR="00441325">
        <w:rPr>
          <w:rFonts w:ascii="Times New Roman" w:eastAsia="Times New Roman" w:hAnsi="Times New Roman" w:cs="Times New Roman"/>
          <w:color w:val="000000"/>
          <w:sz w:val="24"/>
          <w:szCs w:val="24"/>
        </w:rPr>
        <w:t xml:space="preserve"> </w:t>
      </w:r>
      <w:r w:rsidR="00441325" w:rsidRPr="00FA766F">
        <w:rPr>
          <w:rFonts w:ascii="Times New Roman" w:eastAsia="Times New Roman" w:hAnsi="Times New Roman" w:cs="Times New Roman"/>
          <w:color w:val="000000"/>
          <w:sz w:val="24"/>
          <w:szCs w:val="24"/>
        </w:rPr>
        <w:t>(</w:t>
      </w:r>
      <w:proofErr w:type="spellStart"/>
      <w:r w:rsidR="00441325">
        <w:rPr>
          <w:rFonts w:ascii="Times New Roman" w:eastAsia="Times New Roman" w:hAnsi="Times New Roman" w:cs="Times New Roman"/>
          <w:color w:val="000000"/>
          <w:sz w:val="24"/>
          <w:szCs w:val="24"/>
        </w:rPr>
        <w:t>LaFond</w:t>
      </w:r>
      <w:proofErr w:type="spellEnd"/>
      <w:r w:rsidR="00441325">
        <w:rPr>
          <w:rFonts w:ascii="Times New Roman" w:eastAsia="Times New Roman" w:hAnsi="Times New Roman" w:cs="Times New Roman"/>
          <w:color w:val="000000"/>
          <w:sz w:val="24"/>
          <w:szCs w:val="24"/>
        </w:rPr>
        <w:t xml:space="preserve"> and Watts 2008;</w:t>
      </w:r>
      <w:r w:rsidR="00441325" w:rsidRPr="00FA766F">
        <w:rPr>
          <w:rFonts w:ascii="Times New Roman" w:eastAsia="Times New Roman" w:hAnsi="Times New Roman" w:cs="Times New Roman"/>
          <w:color w:val="000000"/>
          <w:sz w:val="24"/>
          <w:szCs w:val="24"/>
        </w:rPr>
        <w:t xml:space="preserve"> Ball et al. 2012)</w:t>
      </w:r>
      <w:r w:rsidRPr="00FA766F">
        <w:rPr>
          <w:rFonts w:ascii="Times New Roman" w:eastAsia="Times New Roman" w:hAnsi="Times New Roman" w:cs="Times New Roman"/>
          <w:color w:val="000000"/>
          <w:sz w:val="24"/>
          <w:szCs w:val="24"/>
        </w:rPr>
        <w:t xml:space="preserve">. </w:t>
      </w:r>
      <w:r w:rsidR="004B1ED6">
        <w:rPr>
          <w:rFonts w:ascii="Times New Roman" w:eastAsia="Times New Roman" w:hAnsi="Times New Roman" w:cs="Times New Roman"/>
          <w:color w:val="000000"/>
          <w:sz w:val="24"/>
          <w:szCs w:val="24"/>
        </w:rPr>
        <w:t>T</w:t>
      </w:r>
      <w:r w:rsidR="004B1ED6" w:rsidRPr="00FA766F">
        <w:rPr>
          <w:rFonts w:ascii="Times New Roman" w:eastAsia="Times New Roman" w:hAnsi="Times New Roman" w:cs="Times New Roman"/>
          <w:color w:val="000000"/>
          <w:sz w:val="24"/>
          <w:szCs w:val="24"/>
        </w:rPr>
        <w:t>he availability of this hard information discipline</w:t>
      </w:r>
      <w:r w:rsidR="004B1ED6">
        <w:rPr>
          <w:rFonts w:ascii="Times New Roman" w:eastAsia="Times New Roman" w:hAnsi="Times New Roman" w:cs="Times New Roman"/>
          <w:color w:val="000000"/>
          <w:sz w:val="24"/>
          <w:szCs w:val="24"/>
        </w:rPr>
        <w:t>s</w:t>
      </w:r>
      <w:r w:rsidR="004B1ED6" w:rsidRPr="00FA766F">
        <w:rPr>
          <w:rFonts w:ascii="Times New Roman" w:eastAsia="Times New Roman" w:hAnsi="Times New Roman" w:cs="Times New Roman"/>
          <w:color w:val="000000"/>
          <w:sz w:val="24"/>
          <w:szCs w:val="24"/>
        </w:rPr>
        <w:t xml:space="preserve"> managers’ voluntary disclosures through </w:t>
      </w:r>
      <w:r w:rsidR="004B1ED6">
        <w:rPr>
          <w:rFonts w:ascii="Times New Roman" w:eastAsia="Times New Roman" w:hAnsi="Times New Roman" w:cs="Times New Roman"/>
          <w:i/>
          <w:color w:val="000000"/>
          <w:sz w:val="24"/>
          <w:szCs w:val="24"/>
        </w:rPr>
        <w:t>ex-</w:t>
      </w:r>
      <w:r w:rsidR="004B1ED6" w:rsidRPr="00FA766F">
        <w:rPr>
          <w:rFonts w:ascii="Times New Roman" w:eastAsia="Times New Roman" w:hAnsi="Times New Roman" w:cs="Times New Roman"/>
          <w:i/>
          <w:color w:val="000000"/>
          <w:sz w:val="24"/>
          <w:szCs w:val="24"/>
        </w:rPr>
        <w:t>pos</w:t>
      </w:r>
      <w:r w:rsidR="004B1ED6" w:rsidRPr="00FA766F">
        <w:rPr>
          <w:rFonts w:ascii="Times New Roman" w:eastAsia="Times New Roman" w:hAnsi="Times New Roman" w:cs="Times New Roman"/>
          <w:color w:val="000000"/>
          <w:sz w:val="24"/>
          <w:szCs w:val="24"/>
        </w:rPr>
        <w:t xml:space="preserve">t accountability for their own voluntary disclosures (Ball 2001; Ball et al. 2012). </w:t>
      </w:r>
      <w:r>
        <w:rPr>
          <w:rFonts w:ascii="Times New Roman" w:eastAsia="Times New Roman" w:hAnsi="Times New Roman" w:cs="Times New Roman"/>
          <w:color w:val="000000"/>
          <w:sz w:val="24"/>
          <w:szCs w:val="24"/>
        </w:rPr>
        <w:t xml:space="preserve"> </w:t>
      </w:r>
      <w:r w:rsidR="0034546E">
        <w:rPr>
          <w:rFonts w:ascii="Times New Roman" w:eastAsia="Times New Roman" w:hAnsi="Times New Roman" w:cs="Times New Roman"/>
          <w:color w:val="000000"/>
          <w:sz w:val="24"/>
          <w:szCs w:val="24"/>
        </w:rPr>
        <w:t>Thus, t</w:t>
      </w:r>
      <w:r w:rsidRPr="00182A8C">
        <w:rPr>
          <w:rFonts w:ascii="Times New Roman" w:hAnsi="Times New Roman" w:cs="Times New Roman"/>
          <w:color w:val="1C1E29"/>
          <w:sz w:val="24"/>
          <w:szCs w:val="24"/>
        </w:rPr>
        <w:t xml:space="preserve">he expectation that unrealized gains (losses) are subject to higher (lower) verification requirement serves to discipline managers to make more </w:t>
      </w:r>
      <w:r>
        <w:rPr>
          <w:rFonts w:ascii="Times New Roman" w:hAnsi="Times New Roman" w:cs="Times New Roman"/>
          <w:color w:val="1C1E29"/>
          <w:sz w:val="24"/>
          <w:szCs w:val="24"/>
        </w:rPr>
        <w:t>informative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 xml:space="preserve">and truthful </w:t>
      </w:r>
      <w:r w:rsidRPr="00182A8C">
        <w:rPr>
          <w:rFonts w:ascii="Times New Roman" w:hAnsi="Times New Roman" w:cs="Times New Roman"/>
          <w:color w:val="1C1E29"/>
          <w:sz w:val="24"/>
          <w:szCs w:val="24"/>
        </w:rPr>
        <w:t>disclosure </w:t>
      </w:r>
      <w:r w:rsidRPr="00D72F9B">
        <w:rPr>
          <w:rFonts w:ascii="Times New Roman" w:hAnsi="Times New Roman" w:cs="Times New Roman"/>
          <w:iCs/>
          <w:color w:val="1C1E29"/>
          <w:sz w:val="24"/>
          <w:szCs w:val="24"/>
        </w:rPr>
        <w:t>about the future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As a result, we expect that</w:t>
      </w:r>
      <w:r w:rsidR="00B12434" w:rsidRPr="00182A8C">
        <w:rPr>
          <w:rFonts w:ascii="Times New Roman" w:hAnsi="Times New Roman" w:cs="Times New Roman"/>
          <w:color w:val="1C1E29"/>
          <w:sz w:val="24"/>
          <w:szCs w:val="24"/>
        </w:rPr>
        <w:t xml:space="preserve"> the confirmation role provided by the joint effects from </w:t>
      </w:r>
      <w:r w:rsidR="0034546E">
        <w:rPr>
          <w:rFonts w:ascii="Times New Roman" w:hAnsi="Times New Roman" w:cs="Times New Roman"/>
          <w:color w:val="1C1E29"/>
          <w:sz w:val="24"/>
          <w:szCs w:val="24"/>
        </w:rPr>
        <w:t xml:space="preserve">conservative accounting </w:t>
      </w:r>
      <w:r w:rsidR="00B12434" w:rsidRPr="00182A8C">
        <w:rPr>
          <w:rFonts w:ascii="Times New Roman" w:hAnsi="Times New Roman" w:cs="Times New Roman"/>
          <w:color w:val="1C1E29"/>
          <w:sz w:val="24"/>
          <w:szCs w:val="24"/>
        </w:rPr>
        <w:t xml:space="preserve">and forward-looking </w:t>
      </w:r>
      <w:r w:rsidR="0034546E">
        <w:rPr>
          <w:rFonts w:ascii="Times New Roman" w:hAnsi="Times New Roman" w:cs="Times New Roman"/>
          <w:color w:val="1C1E29"/>
          <w:sz w:val="24"/>
          <w:szCs w:val="24"/>
        </w:rPr>
        <w:t xml:space="preserve">projections </w:t>
      </w:r>
      <w:r w:rsidR="00B12434" w:rsidRPr="00182A8C">
        <w:rPr>
          <w:rFonts w:ascii="Times New Roman" w:hAnsi="Times New Roman" w:cs="Times New Roman"/>
          <w:color w:val="1C1E29"/>
          <w:sz w:val="24"/>
          <w:szCs w:val="24"/>
        </w:rPr>
        <w:t>increase</w:t>
      </w:r>
      <w:r w:rsidR="00766221">
        <w:rPr>
          <w:rFonts w:ascii="Times New Roman" w:hAnsi="Times New Roman" w:cs="Times New Roman"/>
          <w:color w:val="1C1E29"/>
          <w:sz w:val="24"/>
          <w:szCs w:val="24"/>
        </w:rPr>
        <w:t>s</w:t>
      </w:r>
      <w:r w:rsidR="00B12434" w:rsidRPr="00182A8C">
        <w:rPr>
          <w:rFonts w:ascii="Times New Roman" w:hAnsi="Times New Roman" w:cs="Times New Roman"/>
          <w:color w:val="1C1E29"/>
          <w:sz w:val="24"/>
          <w:szCs w:val="24"/>
        </w:rPr>
        <w:t xml:space="preserve"> the </w:t>
      </w:r>
      <w:r w:rsidR="0034546E">
        <w:rPr>
          <w:rFonts w:ascii="Times New Roman" w:hAnsi="Times New Roman" w:cs="Times New Roman"/>
          <w:color w:val="1C1E29"/>
          <w:sz w:val="24"/>
          <w:szCs w:val="24"/>
        </w:rPr>
        <w:t xml:space="preserve">credibility and informativeness </w:t>
      </w:r>
      <w:r w:rsidR="00B12434" w:rsidRPr="00182A8C">
        <w:rPr>
          <w:rFonts w:ascii="Times New Roman" w:hAnsi="Times New Roman" w:cs="Times New Roman"/>
          <w:color w:val="1C1E29"/>
          <w:sz w:val="24"/>
          <w:szCs w:val="24"/>
        </w:rPr>
        <w:t xml:space="preserve">of </w:t>
      </w:r>
      <w:r w:rsidR="0034546E">
        <w:rPr>
          <w:rFonts w:ascii="Times New Roman" w:hAnsi="Times New Roman" w:cs="Times New Roman"/>
          <w:color w:val="1C1E29"/>
          <w:sz w:val="24"/>
          <w:szCs w:val="24"/>
        </w:rPr>
        <w:t>managerial</w:t>
      </w:r>
      <w:r w:rsidR="008E26FA">
        <w:rPr>
          <w:rFonts w:ascii="Times New Roman" w:hAnsi="Times New Roman" w:cs="Times New Roman"/>
          <w:color w:val="1C1E29"/>
          <w:sz w:val="24"/>
          <w:szCs w:val="24"/>
        </w:rPr>
        <w:t xml:space="preserve"> </w:t>
      </w:r>
      <w:r w:rsidR="00B12434">
        <w:rPr>
          <w:rFonts w:ascii="Times New Roman" w:hAnsi="Times New Roman" w:cs="Times New Roman"/>
          <w:color w:val="1C1E29"/>
          <w:sz w:val="24"/>
          <w:szCs w:val="24"/>
        </w:rPr>
        <w:t>private information</w:t>
      </w:r>
      <w:r w:rsidR="008E26FA">
        <w:rPr>
          <w:rFonts w:ascii="Times New Roman" w:hAnsi="Times New Roman" w:cs="Times New Roman"/>
          <w:color w:val="1C1E29"/>
          <w:sz w:val="24"/>
          <w:szCs w:val="24"/>
        </w:rPr>
        <w:t xml:space="preserve"> from manage</w:t>
      </w:r>
      <w:r w:rsidR="00795992">
        <w:rPr>
          <w:rFonts w:ascii="Times New Roman" w:hAnsi="Times New Roman" w:cs="Times New Roman"/>
          <w:color w:val="1C1E29"/>
          <w:sz w:val="24"/>
          <w:szCs w:val="24"/>
        </w:rPr>
        <w:t>r</w:t>
      </w:r>
      <w:r w:rsidR="008E26FA">
        <w:rPr>
          <w:rFonts w:ascii="Times New Roman" w:hAnsi="Times New Roman" w:cs="Times New Roman"/>
          <w:color w:val="1C1E29"/>
          <w:sz w:val="24"/>
          <w:szCs w:val="24"/>
        </w:rPr>
        <w:t>s to outside market participants</w:t>
      </w:r>
      <w:r w:rsidR="00B12434">
        <w:rPr>
          <w:rFonts w:ascii="Times New Roman" w:hAnsi="Times New Roman" w:cs="Times New Roman"/>
          <w:color w:val="1C1E29"/>
          <w:sz w:val="24"/>
          <w:szCs w:val="24"/>
        </w:rPr>
        <w:t xml:space="preserve">. This leads to our first hypothesis: </w:t>
      </w:r>
    </w:p>
    <w:p w14:paraId="7B357637" w14:textId="42358688" w:rsidR="00C73908" w:rsidRDefault="00C73908" w:rsidP="008458D9">
      <w:pPr>
        <w:ind w:firstLine="720"/>
        <w:contextualSpacing/>
        <w:jc w:val="both"/>
        <w:rPr>
          <w:rFonts w:ascii="Times New Roman" w:hAnsi="Times New Roman" w:cs="Times New Roman"/>
          <w:bCs/>
          <w:color w:val="1C1E29"/>
          <w:sz w:val="24"/>
          <w:szCs w:val="24"/>
        </w:rPr>
      </w:pPr>
      <w:r w:rsidRPr="00CC2A67">
        <w:rPr>
          <w:rFonts w:ascii="Times New Roman" w:hAnsi="Times New Roman" w:cs="Times New Roman"/>
          <w:b/>
          <w:bCs/>
          <w:color w:val="1C1E29"/>
          <w:sz w:val="24"/>
          <w:szCs w:val="24"/>
        </w:rPr>
        <w:t>H</w:t>
      </w:r>
      <w:r w:rsidR="00795992">
        <w:rPr>
          <w:rFonts w:ascii="Times New Roman" w:hAnsi="Times New Roman" w:cs="Times New Roman"/>
          <w:b/>
          <w:bCs/>
          <w:color w:val="1C1E29"/>
          <w:sz w:val="24"/>
          <w:szCs w:val="24"/>
        </w:rPr>
        <w:t xml:space="preserve">ypothesis </w:t>
      </w:r>
      <w:r w:rsidRPr="00CC2A67">
        <w:rPr>
          <w:rFonts w:ascii="Times New Roman" w:hAnsi="Times New Roman" w:cs="Times New Roman"/>
          <w:b/>
          <w:bCs/>
          <w:color w:val="1C1E29"/>
          <w:sz w:val="24"/>
          <w:szCs w:val="24"/>
        </w:rPr>
        <w:t>1</w:t>
      </w:r>
      <w:r w:rsidRPr="00CC2A67">
        <w:rPr>
          <w:rFonts w:ascii="Times New Roman" w:hAnsi="Times New Roman" w:cs="Times New Roman"/>
          <w:bCs/>
          <w:color w:val="1C1E29"/>
          <w:sz w:val="24"/>
          <w:szCs w:val="24"/>
        </w:rPr>
        <w:t xml:space="preserve">: </w:t>
      </w:r>
      <w:r w:rsidRPr="008458D9">
        <w:rPr>
          <w:rFonts w:ascii="Times New Roman" w:hAnsi="Times New Roman" w:cs="Times New Roman"/>
          <w:bCs/>
          <w:i/>
          <w:color w:val="1C1E29"/>
          <w:sz w:val="24"/>
          <w:szCs w:val="24"/>
        </w:rPr>
        <w:t xml:space="preserve">Firms that </w:t>
      </w:r>
      <w:r w:rsidR="001E6E30" w:rsidRPr="008458D9">
        <w:rPr>
          <w:rFonts w:ascii="Times New Roman" w:hAnsi="Times New Roman" w:cs="Times New Roman"/>
          <w:bCs/>
          <w:i/>
          <w:color w:val="1C1E29"/>
          <w:sz w:val="24"/>
          <w:szCs w:val="24"/>
        </w:rPr>
        <w:t>disclose</w:t>
      </w:r>
      <w:r w:rsidR="00C77AED" w:rsidRPr="008458D9">
        <w:rPr>
          <w:rFonts w:ascii="Times New Roman" w:hAnsi="Times New Roman" w:cs="Times New Roman"/>
          <w:bCs/>
          <w:i/>
          <w:color w:val="1C1E29"/>
          <w:sz w:val="24"/>
          <w:szCs w:val="24"/>
        </w:rPr>
        <w:t xml:space="preserve"> forward-looking </w:t>
      </w:r>
      <w:r w:rsidR="001E6E30" w:rsidRPr="008458D9">
        <w:rPr>
          <w:rFonts w:ascii="Times New Roman" w:hAnsi="Times New Roman" w:cs="Times New Roman"/>
          <w:bCs/>
          <w:i/>
          <w:color w:val="1C1E29"/>
          <w:sz w:val="24"/>
          <w:szCs w:val="24"/>
        </w:rPr>
        <w:t>information</w:t>
      </w:r>
      <w:r w:rsidR="00C77AED" w:rsidRPr="008458D9">
        <w:rPr>
          <w:rFonts w:ascii="Times New Roman" w:hAnsi="Times New Roman" w:cs="Times New Roman"/>
          <w:bCs/>
          <w:i/>
          <w:color w:val="1C1E29"/>
          <w:sz w:val="24"/>
          <w:szCs w:val="24"/>
        </w:rPr>
        <w:t xml:space="preserve"> in </w:t>
      </w:r>
      <w:r w:rsidR="00E70B3F" w:rsidRPr="008458D9">
        <w:rPr>
          <w:rFonts w:ascii="Times New Roman" w:hAnsi="Times New Roman" w:cs="Times New Roman"/>
          <w:bCs/>
          <w:i/>
          <w:color w:val="1C1E29"/>
          <w:sz w:val="24"/>
          <w:szCs w:val="24"/>
        </w:rPr>
        <w:t xml:space="preserve">earnings </w:t>
      </w:r>
      <w:r w:rsidRPr="008458D9">
        <w:rPr>
          <w:rFonts w:ascii="Times New Roman" w:hAnsi="Times New Roman" w:cs="Times New Roman"/>
          <w:bCs/>
          <w:i/>
          <w:color w:val="1C1E29"/>
          <w:sz w:val="24"/>
          <w:szCs w:val="24"/>
        </w:rPr>
        <w:t>conference calls and are practicing conservati</w:t>
      </w:r>
      <w:r w:rsidR="00795992" w:rsidRPr="008458D9">
        <w:rPr>
          <w:rFonts w:ascii="Times New Roman" w:hAnsi="Times New Roman" w:cs="Times New Roman"/>
          <w:bCs/>
          <w:i/>
          <w:color w:val="1C1E29"/>
          <w:sz w:val="24"/>
          <w:szCs w:val="24"/>
        </w:rPr>
        <w:t>ve</w:t>
      </w:r>
      <w:r w:rsidRPr="008458D9">
        <w:rPr>
          <w:rFonts w:ascii="Times New Roman" w:hAnsi="Times New Roman" w:cs="Times New Roman"/>
          <w:bCs/>
          <w:i/>
          <w:color w:val="1C1E29"/>
          <w:sz w:val="24"/>
          <w:szCs w:val="24"/>
        </w:rPr>
        <w:t xml:space="preserve"> </w:t>
      </w:r>
      <w:r w:rsidR="00C77AED" w:rsidRPr="008458D9">
        <w:rPr>
          <w:rFonts w:ascii="Times New Roman" w:hAnsi="Times New Roman" w:cs="Times New Roman"/>
          <w:bCs/>
          <w:i/>
          <w:color w:val="1C1E29"/>
          <w:sz w:val="24"/>
          <w:szCs w:val="24"/>
        </w:rPr>
        <w:t>reporting</w:t>
      </w:r>
      <w:r w:rsidR="0086244A" w:rsidRPr="008458D9">
        <w:rPr>
          <w:rFonts w:ascii="Times New Roman" w:hAnsi="Times New Roman" w:cs="Times New Roman"/>
          <w:bCs/>
          <w:i/>
          <w:color w:val="1C1E29"/>
          <w:sz w:val="24"/>
          <w:szCs w:val="24"/>
        </w:rPr>
        <w:t xml:space="preserve"> </w:t>
      </w:r>
      <w:r w:rsidR="001E6E30" w:rsidRPr="008458D9">
        <w:rPr>
          <w:rFonts w:ascii="Times New Roman" w:hAnsi="Times New Roman" w:cs="Times New Roman"/>
          <w:bCs/>
          <w:i/>
          <w:color w:val="1C1E29"/>
          <w:sz w:val="24"/>
          <w:szCs w:val="24"/>
        </w:rPr>
        <w:t>improve firm information environment.</w:t>
      </w:r>
      <w:r w:rsidR="001E6E30">
        <w:rPr>
          <w:rFonts w:ascii="Times New Roman" w:hAnsi="Times New Roman" w:cs="Times New Roman"/>
          <w:bCs/>
          <w:color w:val="1C1E29"/>
          <w:sz w:val="24"/>
          <w:szCs w:val="24"/>
        </w:rPr>
        <w:t xml:space="preserve"> </w:t>
      </w:r>
      <w:r w:rsidR="0086244A" w:rsidRPr="00CC2A67">
        <w:rPr>
          <w:rFonts w:ascii="Times New Roman" w:hAnsi="Times New Roman" w:cs="Times New Roman"/>
          <w:bCs/>
          <w:color w:val="1C1E29"/>
          <w:sz w:val="24"/>
          <w:szCs w:val="24"/>
        </w:rPr>
        <w:t xml:space="preserve"> </w:t>
      </w:r>
    </w:p>
    <w:p w14:paraId="6F7F77D9" w14:textId="77777777" w:rsidR="001E6E30" w:rsidRDefault="001E6E30" w:rsidP="001E6E30">
      <w:pPr>
        <w:ind w:firstLine="720"/>
        <w:contextualSpacing/>
        <w:rPr>
          <w:rFonts w:ascii="Times New Roman" w:hAnsi="Times New Roman" w:cs="Times New Roman"/>
          <w:color w:val="1C1E29"/>
          <w:sz w:val="24"/>
          <w:szCs w:val="24"/>
        </w:rPr>
      </w:pPr>
    </w:p>
    <w:p w14:paraId="6CBBBBF0" w14:textId="77777777" w:rsidR="00145CF7" w:rsidRDefault="00145CF7" w:rsidP="008458D9">
      <w:pPr>
        <w:spacing w:line="480" w:lineRule="auto"/>
        <w:ind w:firstLine="720"/>
        <w:jc w:val="both"/>
        <w:rPr>
          <w:rFonts w:ascii="Times New Roman" w:eastAsia="Times New Roman" w:hAnsi="Times New Roman" w:cs="Times New Roman"/>
          <w:color w:val="000000"/>
          <w:sz w:val="24"/>
          <w:szCs w:val="24"/>
        </w:rPr>
      </w:pPr>
    </w:p>
    <w:p w14:paraId="298C1DF9" w14:textId="77777777" w:rsidR="00D36A25" w:rsidRDefault="00D36A25" w:rsidP="008458D9">
      <w:pPr>
        <w:spacing w:line="480" w:lineRule="auto"/>
        <w:ind w:firstLine="720"/>
        <w:jc w:val="both"/>
        <w:rPr>
          <w:rFonts w:ascii="Times New Roman" w:eastAsia="Times New Roman" w:hAnsi="Times New Roman" w:cs="Times New Roman"/>
          <w:color w:val="000000"/>
          <w:sz w:val="24"/>
          <w:szCs w:val="24"/>
        </w:rPr>
      </w:pPr>
    </w:p>
    <w:p w14:paraId="1AAD0BB2" w14:textId="20E2B856" w:rsidR="003A34C1" w:rsidRPr="00372D32" w:rsidRDefault="003A34C1" w:rsidP="00372D32">
      <w:pPr>
        <w:spacing w:line="480" w:lineRule="auto"/>
        <w:ind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lastRenderedPageBreak/>
        <w:t xml:space="preserve">We argue because </w:t>
      </w:r>
      <w:r w:rsidR="00544E30">
        <w:rPr>
          <w:rFonts w:ascii="Times New Roman" w:eastAsia="Times New Roman" w:hAnsi="Times New Roman" w:cs="Times New Roman"/>
          <w:color w:val="000000"/>
          <w:sz w:val="24"/>
          <w:szCs w:val="24"/>
        </w:rPr>
        <w:t>t</w:t>
      </w:r>
      <w:r w:rsidR="00544E30" w:rsidRPr="00544E30">
        <w:rPr>
          <w:rFonts w:ascii="Times New Roman" w:eastAsia="Times New Roman" w:hAnsi="Times New Roman" w:cs="Times New Roman"/>
          <w:color w:val="000000"/>
          <w:sz w:val="24"/>
          <w:szCs w:val="24"/>
        </w:rPr>
        <w:t>he level of conservatism in a given firm at a given point in time is largely determined by regulatory and other factors outside of the mangers’ contr</w:t>
      </w:r>
      <w:r w:rsidR="00D36A25">
        <w:rPr>
          <w:rFonts w:ascii="Times New Roman" w:eastAsia="Times New Roman" w:hAnsi="Times New Roman" w:cs="Times New Roman"/>
          <w:color w:val="000000"/>
          <w:sz w:val="24"/>
          <w:szCs w:val="24"/>
        </w:rPr>
        <w:t xml:space="preserve">ol, </w:t>
      </w:r>
      <w:r w:rsidR="00544E30" w:rsidRPr="00544E30">
        <w:rPr>
          <w:rFonts w:ascii="Times New Roman" w:eastAsia="Times New Roman" w:hAnsi="Times New Roman" w:cs="Times New Roman"/>
          <w:color w:val="000000"/>
          <w:sz w:val="24"/>
          <w:szCs w:val="24"/>
        </w:rPr>
        <w:t>such as accounting standards</w:t>
      </w:r>
      <w:r w:rsidR="00D36A25">
        <w:rPr>
          <w:rFonts w:ascii="Times New Roman" w:eastAsia="Times New Roman" w:hAnsi="Times New Roman" w:cs="Times New Roman"/>
          <w:color w:val="000000"/>
          <w:sz w:val="24"/>
          <w:szCs w:val="24"/>
        </w:rPr>
        <w:t xml:space="preserve"> </w:t>
      </w:r>
      <w:r w:rsidR="00D36A25" w:rsidRPr="00BA1C31">
        <w:rPr>
          <w:rFonts w:ascii="Times New Roman" w:hAnsi="Times New Roman" w:cs="Times New Roman"/>
          <w:color w:val="1C1E29"/>
          <w:sz w:val="24"/>
          <w:szCs w:val="24"/>
        </w:rPr>
        <w:t>(Lawrence, Sloan, and Sun 2013)</w:t>
      </w:r>
      <w:r w:rsidR="008458D9">
        <w:rPr>
          <w:rFonts w:ascii="Times New Roman" w:eastAsia="Times New Roman" w:hAnsi="Times New Roman" w:cs="Times New Roman"/>
          <w:color w:val="000000"/>
          <w:sz w:val="24"/>
          <w:szCs w:val="24"/>
        </w:rPr>
        <w:t>,</w:t>
      </w:r>
      <w:r w:rsidR="00544E30" w:rsidRPr="00544E30">
        <w:rPr>
          <w:rFonts w:ascii="Times New Roman" w:eastAsia="Times New Roman" w:hAnsi="Times New Roman" w:cs="Times New Roman"/>
          <w:color w:val="000000"/>
          <w:sz w:val="24"/>
          <w:szCs w:val="24"/>
        </w:rPr>
        <w:t xml:space="preserve"> and </w:t>
      </w:r>
      <w:r w:rsidR="00D36A25" w:rsidRPr="00BA1C31">
        <w:rPr>
          <w:rFonts w:ascii="Times New Roman" w:hAnsi="Times New Roman" w:cs="Times New Roman"/>
          <w:color w:val="1C1E29"/>
          <w:sz w:val="24"/>
          <w:szCs w:val="24"/>
        </w:rPr>
        <w:t xml:space="preserve">pressures from contracting parties </w:t>
      </w:r>
      <w:r w:rsidR="00D36A25">
        <w:rPr>
          <w:rFonts w:ascii="Times New Roman" w:hAnsi="Times New Roman" w:cs="Times New Roman"/>
          <w:color w:val="1C1E29"/>
          <w:sz w:val="24"/>
          <w:szCs w:val="24"/>
        </w:rPr>
        <w:t>(</w:t>
      </w:r>
      <w:proofErr w:type="spellStart"/>
      <w:r w:rsidR="00D36A25">
        <w:rPr>
          <w:rFonts w:ascii="Times New Roman" w:hAnsi="Times New Roman" w:cs="Times New Roman"/>
          <w:color w:val="1C1E29"/>
          <w:sz w:val="24"/>
          <w:szCs w:val="24"/>
        </w:rPr>
        <w:t>Roychowdhury</w:t>
      </w:r>
      <w:proofErr w:type="spellEnd"/>
      <w:r w:rsidR="00D36A25">
        <w:rPr>
          <w:rFonts w:ascii="Times New Roman" w:hAnsi="Times New Roman" w:cs="Times New Roman"/>
          <w:color w:val="1C1E29"/>
          <w:sz w:val="24"/>
          <w:szCs w:val="24"/>
        </w:rPr>
        <w:t xml:space="preserve"> and Martin 2013) such as </w:t>
      </w:r>
      <w:r w:rsidR="00D36A25" w:rsidRPr="00BA1C31">
        <w:rPr>
          <w:rFonts w:ascii="Times New Roman" w:hAnsi="Times New Roman" w:cs="Times New Roman"/>
          <w:color w:val="1C1E29"/>
          <w:sz w:val="24"/>
          <w:szCs w:val="24"/>
        </w:rPr>
        <w:t xml:space="preserve">debt holders (e.g., Nikolaev 2010), corporate suppliers and customers (Hui, </w:t>
      </w:r>
      <w:proofErr w:type="spellStart"/>
      <w:r w:rsidR="00D36A25" w:rsidRPr="00BA1C31">
        <w:rPr>
          <w:rFonts w:ascii="Times New Roman" w:hAnsi="Times New Roman" w:cs="Times New Roman"/>
          <w:color w:val="1C1E29"/>
          <w:sz w:val="24"/>
          <w:szCs w:val="24"/>
        </w:rPr>
        <w:t>Klasa</w:t>
      </w:r>
      <w:proofErr w:type="spellEnd"/>
      <w:r w:rsidR="00D36A25" w:rsidRPr="00BA1C31">
        <w:rPr>
          <w:rFonts w:ascii="Times New Roman" w:hAnsi="Times New Roman" w:cs="Times New Roman"/>
          <w:color w:val="1C1E29"/>
          <w:sz w:val="24"/>
          <w:szCs w:val="24"/>
        </w:rPr>
        <w:t>, and Yeung 2012), and institutional investors (</w:t>
      </w:r>
      <w:proofErr w:type="spellStart"/>
      <w:r w:rsidR="00D36A25" w:rsidRPr="00BA1C31">
        <w:rPr>
          <w:rFonts w:ascii="Times New Roman" w:hAnsi="Times New Roman" w:cs="Times New Roman"/>
          <w:color w:val="1C1E29"/>
          <w:sz w:val="24"/>
          <w:szCs w:val="24"/>
        </w:rPr>
        <w:t>Ramalingegowda</w:t>
      </w:r>
      <w:proofErr w:type="spellEnd"/>
      <w:r w:rsidR="00D36A25" w:rsidRPr="00BA1C31">
        <w:rPr>
          <w:rFonts w:ascii="Times New Roman" w:hAnsi="Times New Roman" w:cs="Times New Roman"/>
          <w:color w:val="1C1E29"/>
          <w:sz w:val="24"/>
          <w:szCs w:val="24"/>
        </w:rPr>
        <w:t xml:space="preserve"> and Yu 2012).</w:t>
      </w:r>
      <w:r w:rsidR="00D36A25">
        <w:rPr>
          <w:rFonts w:ascii="Times New Roman" w:hAnsi="Times New Roman" w:cs="Times New Roman"/>
          <w:color w:val="1C1E29"/>
          <w:sz w:val="24"/>
          <w:szCs w:val="24"/>
        </w:rPr>
        <w:t xml:space="preserve"> As m</w:t>
      </w:r>
      <w:r w:rsidR="00544E30" w:rsidRPr="00544E30">
        <w:rPr>
          <w:rFonts w:ascii="Times New Roman" w:eastAsia="Times New Roman" w:hAnsi="Times New Roman" w:cs="Times New Roman"/>
          <w:color w:val="000000"/>
          <w:sz w:val="24"/>
          <w:szCs w:val="24"/>
        </w:rPr>
        <w:t xml:space="preserve">ost of </w:t>
      </w:r>
      <w:r w:rsidR="00D36A25">
        <w:rPr>
          <w:rFonts w:ascii="Times New Roman" w:eastAsia="Times New Roman" w:hAnsi="Times New Roman" w:cs="Times New Roman"/>
          <w:color w:val="000000"/>
          <w:sz w:val="24"/>
          <w:szCs w:val="24"/>
        </w:rPr>
        <w:t>these factors</w:t>
      </w:r>
      <w:r w:rsidR="00544E30" w:rsidRPr="00544E30">
        <w:rPr>
          <w:rFonts w:ascii="Times New Roman" w:eastAsia="Times New Roman" w:hAnsi="Times New Roman" w:cs="Times New Roman"/>
          <w:color w:val="000000"/>
          <w:sz w:val="24"/>
          <w:szCs w:val="24"/>
        </w:rPr>
        <w:t xml:space="preserve"> have little </w:t>
      </w:r>
      <w:r w:rsidR="00D36A25">
        <w:rPr>
          <w:rFonts w:ascii="Times New Roman" w:eastAsia="Times New Roman" w:hAnsi="Times New Roman" w:cs="Times New Roman"/>
          <w:color w:val="000000"/>
          <w:sz w:val="24"/>
          <w:szCs w:val="24"/>
        </w:rPr>
        <w:t xml:space="preserve">control by managers themselves, </w:t>
      </w:r>
      <w:r w:rsidR="00544E30" w:rsidRPr="00544E30">
        <w:rPr>
          <w:rFonts w:ascii="Times New Roman" w:eastAsia="Times New Roman" w:hAnsi="Times New Roman" w:cs="Times New Roman"/>
          <w:color w:val="000000"/>
          <w:sz w:val="24"/>
          <w:szCs w:val="24"/>
        </w:rPr>
        <w:t xml:space="preserve">a more plausible scenario is that firms, rather than </w:t>
      </w:r>
      <w:r>
        <w:rPr>
          <w:rFonts w:ascii="Times New Roman" w:eastAsia="Times New Roman" w:hAnsi="Times New Roman" w:cs="Times New Roman"/>
          <w:color w:val="000000"/>
          <w:sz w:val="24"/>
          <w:szCs w:val="24"/>
        </w:rPr>
        <w:t>incumbent managers</w:t>
      </w:r>
      <w:r w:rsidR="00544E30" w:rsidRPr="00544E30">
        <w:rPr>
          <w:rFonts w:ascii="Times New Roman" w:eastAsia="Times New Roman" w:hAnsi="Times New Roman" w:cs="Times New Roman"/>
          <w:color w:val="000000"/>
          <w:sz w:val="24"/>
          <w:szCs w:val="24"/>
        </w:rPr>
        <w:t xml:space="preserve">, choose a high level of </w:t>
      </w:r>
      <w:r w:rsidR="00544E30">
        <w:rPr>
          <w:rFonts w:ascii="Times New Roman" w:eastAsia="Times New Roman" w:hAnsi="Times New Roman" w:cs="Times New Roman"/>
          <w:color w:val="000000"/>
          <w:sz w:val="24"/>
          <w:szCs w:val="24"/>
        </w:rPr>
        <w:t xml:space="preserve">conservative reporting. </w:t>
      </w:r>
      <w:r w:rsidR="00372D32">
        <w:rPr>
          <w:rFonts w:ascii="Times New Roman" w:hAnsi="Times New Roman" w:cs="Times New Roman"/>
          <w:color w:val="1C1E29"/>
          <w:sz w:val="24"/>
          <w:szCs w:val="24"/>
        </w:rPr>
        <w:t xml:space="preserve">Thus, </w:t>
      </w:r>
      <w:r w:rsidR="00372D32" w:rsidRPr="00BA1C31">
        <w:rPr>
          <w:rFonts w:ascii="Times New Roman" w:hAnsi="Times New Roman" w:cs="Times New Roman"/>
          <w:color w:val="1C1E29"/>
          <w:sz w:val="24"/>
          <w:szCs w:val="24"/>
        </w:rPr>
        <w:t xml:space="preserve">the level of accounting conservatism </w:t>
      </w:r>
      <w:r w:rsidR="00372D32">
        <w:rPr>
          <w:rFonts w:ascii="Times New Roman" w:hAnsi="Times New Roman" w:cs="Times New Roman"/>
          <w:color w:val="1C1E29"/>
          <w:sz w:val="24"/>
          <w:szCs w:val="24"/>
        </w:rPr>
        <w:t xml:space="preserve">in a given firm at a given point in time </w:t>
      </w:r>
      <w:r w:rsidR="00372D32" w:rsidRPr="00BA1C31">
        <w:rPr>
          <w:rFonts w:ascii="Times New Roman" w:hAnsi="Times New Roman" w:cs="Times New Roman"/>
          <w:color w:val="1C1E29"/>
          <w:sz w:val="24"/>
          <w:szCs w:val="24"/>
        </w:rPr>
        <w:t>can be viewed as largely exogenous</w:t>
      </w:r>
      <w:r w:rsidR="00372D32">
        <w:rPr>
          <w:rFonts w:ascii="Times New Roman" w:hAnsi="Times New Roman" w:cs="Times New Roman"/>
          <w:color w:val="1C1E29"/>
          <w:sz w:val="24"/>
          <w:szCs w:val="24"/>
        </w:rPr>
        <w:t>, consistent with prior research such as Hsu et al. (2017)</w:t>
      </w:r>
      <w:r w:rsidR="00372D32" w:rsidRPr="00BA1C31">
        <w:rPr>
          <w:rFonts w:ascii="Times New Roman" w:hAnsi="Times New Roman" w:cs="Times New Roman"/>
          <w:color w:val="1C1E29"/>
          <w:sz w:val="24"/>
          <w:szCs w:val="24"/>
        </w:rPr>
        <w:t>.</w:t>
      </w:r>
      <w:r w:rsidR="00372D32">
        <w:rPr>
          <w:rStyle w:val="FootnoteReference"/>
          <w:rFonts w:ascii="Times New Roman" w:hAnsi="Times New Roman" w:cs="Times New Roman"/>
          <w:color w:val="1C1E29"/>
          <w:sz w:val="24"/>
          <w:szCs w:val="24"/>
        </w:rPr>
        <w:footnoteReference w:id="2"/>
      </w:r>
      <w:r w:rsidR="00372D32" w:rsidRPr="00BA1C31">
        <w:rPr>
          <w:rFonts w:ascii="Times New Roman" w:hAnsi="Times New Roman" w:cs="Times New Roman"/>
          <w:color w:val="1C1E29"/>
          <w:sz w:val="24"/>
          <w:szCs w:val="24"/>
        </w:rPr>
        <w:t xml:space="preserve"> </w:t>
      </w:r>
      <w:r>
        <w:rPr>
          <w:rFonts w:ascii="Times New Roman" w:eastAsia="Times New Roman" w:hAnsi="Times New Roman" w:cs="Times New Roman"/>
          <w:color w:val="000000"/>
          <w:sz w:val="24"/>
          <w:szCs w:val="24"/>
        </w:rPr>
        <w:t>For a given level of accou</w:t>
      </w:r>
      <w:r w:rsidR="00372D32">
        <w:rPr>
          <w:rFonts w:ascii="Times New Roman" w:eastAsia="Times New Roman" w:hAnsi="Times New Roman" w:cs="Times New Roman"/>
          <w:color w:val="000000"/>
          <w:sz w:val="24"/>
          <w:szCs w:val="24"/>
        </w:rPr>
        <w:t>nting conservatism, managers could</w:t>
      </w:r>
      <w:r>
        <w:rPr>
          <w:rFonts w:ascii="Times New Roman" w:eastAsia="Times New Roman" w:hAnsi="Times New Roman" w:cs="Times New Roman"/>
          <w:color w:val="000000"/>
          <w:sz w:val="24"/>
          <w:szCs w:val="24"/>
        </w:rPr>
        <w:t xml:space="preserve"> decide whether they want to convey or conceal their</w:t>
      </w:r>
      <w:r w:rsidR="00544E30">
        <w:rPr>
          <w:rFonts w:ascii="Times New Roman" w:eastAsia="Times New Roman" w:hAnsi="Times New Roman" w:cs="Times New Roman"/>
          <w:color w:val="000000"/>
          <w:sz w:val="24"/>
          <w:szCs w:val="24"/>
        </w:rPr>
        <w:t xml:space="preserve"> private information </w:t>
      </w:r>
      <w:r>
        <w:rPr>
          <w:rFonts w:ascii="Times New Roman" w:eastAsia="Times New Roman" w:hAnsi="Times New Roman" w:cs="Times New Roman"/>
          <w:color w:val="000000"/>
          <w:sz w:val="24"/>
          <w:szCs w:val="24"/>
        </w:rPr>
        <w:t>about the firm future performance. This raise</w:t>
      </w:r>
      <w:r w:rsidR="008458D9">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question of whether </w:t>
      </w:r>
      <w:r>
        <w:rPr>
          <w:rFonts w:ascii="Times New Roman" w:hAnsi="Times New Roman" w:cs="Times New Roman"/>
          <w:bCs/>
          <w:color w:val="1C1E29"/>
          <w:sz w:val="24"/>
          <w:szCs w:val="24"/>
        </w:rPr>
        <w:t xml:space="preserve">conservative reporting increase or decrease managerial forward-looking information on the conference calls. </w:t>
      </w:r>
    </w:p>
    <w:p w14:paraId="5F6F2428" w14:textId="4C6D854F" w:rsidR="002D20CA" w:rsidRDefault="003A34C1" w:rsidP="008458D9">
      <w:pPr>
        <w:spacing w:line="480" w:lineRule="auto"/>
        <w:contextualSpacing/>
        <w:jc w:val="both"/>
        <w:rPr>
          <w:rFonts w:ascii="Times New Roman" w:hAnsi="Times New Roman" w:cs="Times New Roman"/>
          <w:bCs/>
          <w:color w:val="1C1E29"/>
          <w:sz w:val="24"/>
          <w:szCs w:val="24"/>
        </w:rPr>
      </w:pPr>
      <w:r>
        <w:rPr>
          <w:rFonts w:ascii="Times New Roman" w:hAnsi="Times New Roman" w:cs="Times New Roman"/>
          <w:bCs/>
          <w:color w:val="1C1E29"/>
          <w:sz w:val="24"/>
          <w:szCs w:val="24"/>
        </w:rPr>
        <w:t xml:space="preserve"> </w:t>
      </w:r>
      <w:r w:rsidR="002D20CA">
        <w:rPr>
          <w:rFonts w:ascii="Times New Roman" w:hAnsi="Times New Roman" w:cs="Times New Roman"/>
          <w:bCs/>
          <w:color w:val="1C1E29"/>
          <w:sz w:val="24"/>
          <w:szCs w:val="24"/>
        </w:rPr>
        <w:tab/>
        <w:t>On one hand, the forward-looking information and higher conservatism help analysts make more accurate and less dispersed forecasts and reduce</w:t>
      </w:r>
      <w:r w:rsidR="00CA6351">
        <w:rPr>
          <w:rFonts w:ascii="Times New Roman" w:hAnsi="Times New Roman" w:cs="Times New Roman"/>
          <w:bCs/>
          <w:color w:val="1C1E29"/>
          <w:sz w:val="24"/>
          <w:szCs w:val="24"/>
        </w:rPr>
        <w:t xml:space="preserve"> the</w:t>
      </w:r>
      <w:r w:rsidR="002D20CA">
        <w:rPr>
          <w:rFonts w:ascii="Times New Roman" w:hAnsi="Times New Roman" w:cs="Times New Roman"/>
          <w:bCs/>
          <w:color w:val="1C1E29"/>
          <w:sz w:val="24"/>
          <w:szCs w:val="24"/>
        </w:rPr>
        <w:t xml:space="preserve"> information asymmetry between the managers and the market participants. Assuming managers are awar</w:t>
      </w:r>
      <w:r w:rsidR="00CA6351">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of such a benefit from their credible disclosure in the past, th</w:t>
      </w:r>
      <w:r w:rsidR="008458D9">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confirmation benefit from higher conservative reporting would incentive managers to disclose more forward-looking information in </w:t>
      </w:r>
      <w:r w:rsidR="008458D9">
        <w:rPr>
          <w:rFonts w:ascii="Times New Roman" w:hAnsi="Times New Roman" w:cs="Times New Roman"/>
          <w:bCs/>
          <w:color w:val="1C1E29"/>
          <w:sz w:val="24"/>
          <w:szCs w:val="24"/>
        </w:rPr>
        <w:t xml:space="preserve">the calls. </w:t>
      </w:r>
      <w:r w:rsidR="002D20CA">
        <w:rPr>
          <w:rFonts w:ascii="Times New Roman" w:hAnsi="Times New Roman" w:cs="Times New Roman"/>
          <w:bCs/>
          <w:color w:val="1C1E29"/>
          <w:sz w:val="24"/>
          <w:szCs w:val="24"/>
        </w:rPr>
        <w:t xml:space="preserve"> </w:t>
      </w:r>
    </w:p>
    <w:p w14:paraId="0DB4E7CC" w14:textId="55EB4AF2" w:rsidR="00C2436D" w:rsidRDefault="008458D9" w:rsidP="008458D9">
      <w:pPr>
        <w:spacing w:line="480" w:lineRule="auto"/>
        <w:contextualSpacing/>
        <w:jc w:val="both"/>
        <w:rPr>
          <w:rFonts w:ascii="Times New Roman" w:hAnsi="Times New Roman" w:cs="Times New Roman"/>
          <w:bCs/>
          <w:color w:val="1C1E29"/>
          <w:sz w:val="24"/>
          <w:szCs w:val="24"/>
        </w:rPr>
      </w:pPr>
      <w:r w:rsidRPr="008458D9">
        <w:rPr>
          <w:rFonts w:ascii="Times New Roman" w:hAnsi="Times New Roman" w:cs="Times New Roman"/>
          <w:bCs/>
          <w:color w:val="1C1E29"/>
          <w:sz w:val="24"/>
          <w:szCs w:val="24"/>
        </w:rPr>
        <w:tab/>
        <w:t xml:space="preserve">One the other hand, </w:t>
      </w:r>
      <w:r>
        <w:rPr>
          <w:rFonts w:ascii="Times New Roman" w:hAnsi="Times New Roman" w:cs="Times New Roman"/>
          <w:bCs/>
          <w:color w:val="1C1E29"/>
          <w:sz w:val="24"/>
          <w:szCs w:val="24"/>
        </w:rPr>
        <w:t>si</w:t>
      </w:r>
      <w:r w:rsidRPr="008458D9">
        <w:rPr>
          <w:rFonts w:ascii="Times New Roman" w:hAnsi="Times New Roman" w:cs="Times New Roman"/>
          <w:bCs/>
          <w:color w:val="1C1E29"/>
          <w:sz w:val="24"/>
          <w:szCs w:val="24"/>
        </w:rPr>
        <w:t>nce one benefit from the reduction in information asymmetry associated with voluntary disclosure</w:t>
      </w:r>
      <w:r w:rsidR="00CA6351">
        <w:rPr>
          <w:rFonts w:ascii="Times New Roman" w:hAnsi="Times New Roman" w:cs="Times New Roman"/>
          <w:bCs/>
          <w:color w:val="1C1E29"/>
          <w:sz w:val="24"/>
          <w:szCs w:val="24"/>
        </w:rPr>
        <w:t>,</w:t>
      </w:r>
      <w:r w:rsidRPr="008458D9">
        <w:rPr>
          <w:rFonts w:ascii="Times New Roman" w:hAnsi="Times New Roman" w:cs="Times New Roman"/>
          <w:bCs/>
          <w:color w:val="1C1E29"/>
          <w:sz w:val="24"/>
          <w:szCs w:val="24"/>
        </w:rPr>
        <w:t xml:space="preserve"> is a reduction in the</w:t>
      </w:r>
      <w:r>
        <w:rPr>
          <w:rFonts w:ascii="Times New Roman" w:hAnsi="Times New Roman" w:cs="Times New Roman"/>
          <w:bCs/>
          <w:color w:val="1C1E29"/>
          <w:sz w:val="24"/>
          <w:szCs w:val="24"/>
        </w:rPr>
        <w:t xml:space="preserve"> </w:t>
      </w:r>
      <w:r w:rsidRPr="008458D9">
        <w:rPr>
          <w:rFonts w:ascii="Times New Roman" w:hAnsi="Times New Roman" w:cs="Times New Roman"/>
          <w:bCs/>
          <w:color w:val="1C1E29"/>
          <w:sz w:val="24"/>
          <w:szCs w:val="24"/>
        </w:rPr>
        <w:t>firm’s cost of capital (Lev and</w:t>
      </w:r>
      <w:r>
        <w:rPr>
          <w:rFonts w:ascii="Times New Roman" w:hAnsi="Times New Roman" w:cs="Times New Roman"/>
          <w:bCs/>
          <w:color w:val="1C1E29"/>
          <w:sz w:val="24"/>
          <w:szCs w:val="24"/>
        </w:rPr>
        <w:t xml:space="preserve"> Penman,1990), </w:t>
      </w:r>
      <w:r w:rsidRPr="008458D9">
        <w:rPr>
          <w:rFonts w:ascii="Times New Roman" w:hAnsi="Times New Roman" w:cs="Times New Roman"/>
          <w:bCs/>
          <w:color w:val="1C1E29"/>
          <w:sz w:val="24"/>
          <w:szCs w:val="24"/>
        </w:rPr>
        <w:t>conservative accountin</w:t>
      </w:r>
      <w:r>
        <w:rPr>
          <w:rFonts w:ascii="Times New Roman" w:hAnsi="Times New Roman" w:cs="Times New Roman"/>
          <w:bCs/>
          <w:color w:val="1C1E29"/>
          <w:sz w:val="24"/>
          <w:szCs w:val="24"/>
        </w:rPr>
        <w:t xml:space="preserve">g may substitute for managers’ incentives to provide </w:t>
      </w:r>
      <w:r w:rsidR="00CA6351">
        <w:rPr>
          <w:rFonts w:ascii="Times New Roman" w:hAnsi="Times New Roman" w:cs="Times New Roman"/>
          <w:bCs/>
          <w:color w:val="1C1E29"/>
          <w:sz w:val="24"/>
          <w:szCs w:val="24"/>
        </w:rPr>
        <w:t xml:space="preserve">future-oriented </w:t>
      </w:r>
      <w:r>
        <w:rPr>
          <w:rFonts w:ascii="Times New Roman" w:hAnsi="Times New Roman" w:cs="Times New Roman"/>
          <w:bCs/>
          <w:color w:val="1C1E29"/>
          <w:sz w:val="24"/>
          <w:szCs w:val="24"/>
        </w:rPr>
        <w:t>information</w:t>
      </w:r>
      <w:r w:rsidRPr="008458D9">
        <w:rPr>
          <w:rFonts w:ascii="Times New Roman" w:hAnsi="Times New Roman" w:cs="Times New Roman"/>
          <w:bCs/>
          <w:color w:val="1C1E29"/>
          <w:sz w:val="24"/>
          <w:szCs w:val="24"/>
        </w:rPr>
        <w:t xml:space="preserve"> </w:t>
      </w:r>
      <w:r>
        <w:rPr>
          <w:rFonts w:ascii="Times New Roman" w:hAnsi="Times New Roman" w:cs="Times New Roman"/>
          <w:bCs/>
          <w:color w:val="1C1E29"/>
          <w:sz w:val="24"/>
          <w:szCs w:val="24"/>
        </w:rPr>
        <w:t xml:space="preserve">to reduce information asymmetry. This is because </w:t>
      </w:r>
      <w:r w:rsidRPr="008458D9">
        <w:rPr>
          <w:rFonts w:ascii="Times New Roman" w:hAnsi="Times New Roman" w:cs="Times New Roman"/>
          <w:bCs/>
          <w:color w:val="1C1E29"/>
          <w:sz w:val="24"/>
          <w:szCs w:val="24"/>
        </w:rPr>
        <w:t>conservatism red</w:t>
      </w:r>
      <w:r>
        <w:rPr>
          <w:rFonts w:ascii="Times New Roman" w:hAnsi="Times New Roman" w:cs="Times New Roman"/>
          <w:bCs/>
          <w:color w:val="1C1E29"/>
          <w:sz w:val="24"/>
          <w:szCs w:val="24"/>
        </w:rPr>
        <w:t xml:space="preserve">uces the </w:t>
      </w:r>
      <w:r>
        <w:rPr>
          <w:rFonts w:ascii="Times New Roman" w:hAnsi="Times New Roman" w:cs="Times New Roman"/>
          <w:bCs/>
          <w:color w:val="1C1E29"/>
          <w:sz w:val="24"/>
          <w:szCs w:val="24"/>
        </w:rPr>
        <w:lastRenderedPageBreak/>
        <w:t xml:space="preserve">extent of information </w:t>
      </w:r>
      <w:r w:rsidRPr="008458D9">
        <w:rPr>
          <w:rFonts w:ascii="Times New Roman" w:hAnsi="Times New Roman" w:cs="Times New Roman"/>
          <w:bCs/>
          <w:color w:val="1C1E29"/>
          <w:sz w:val="24"/>
          <w:szCs w:val="24"/>
        </w:rPr>
        <w:t>asymmetry by increasing the speed with which negative information is r</w:t>
      </w:r>
      <w:r>
        <w:rPr>
          <w:rFonts w:ascii="Times New Roman" w:hAnsi="Times New Roman" w:cs="Times New Roman"/>
          <w:bCs/>
          <w:color w:val="1C1E29"/>
          <w:sz w:val="24"/>
          <w:szCs w:val="24"/>
        </w:rPr>
        <w:t>evealed in the earnings numbers (</w:t>
      </w:r>
      <w:proofErr w:type="spellStart"/>
      <w:r>
        <w:rPr>
          <w:rFonts w:ascii="Times New Roman" w:hAnsi="Times New Roman" w:cs="Times New Roman"/>
          <w:bCs/>
          <w:color w:val="1C1E29"/>
          <w:sz w:val="24"/>
          <w:szCs w:val="24"/>
        </w:rPr>
        <w:t>LaFond</w:t>
      </w:r>
      <w:proofErr w:type="spellEnd"/>
      <w:r>
        <w:rPr>
          <w:rFonts w:ascii="Times New Roman" w:hAnsi="Times New Roman" w:cs="Times New Roman"/>
          <w:bCs/>
          <w:color w:val="1C1E29"/>
          <w:sz w:val="24"/>
          <w:szCs w:val="24"/>
        </w:rPr>
        <w:t xml:space="preserve"> and Watts 2008). Consistent with the argument, Hui et al. (2009) find a negative association between conservative accounting and</w:t>
      </w:r>
      <w:r w:rsidR="00CA6351">
        <w:rPr>
          <w:rFonts w:ascii="Times New Roman" w:hAnsi="Times New Roman" w:cs="Times New Roman"/>
          <w:bCs/>
          <w:color w:val="1C1E29"/>
          <w:sz w:val="24"/>
          <w:szCs w:val="24"/>
        </w:rPr>
        <w:t xml:space="preserve"> management earnings forecasts. These results suggest</w:t>
      </w:r>
      <w:r>
        <w:rPr>
          <w:rFonts w:ascii="Times New Roman" w:hAnsi="Times New Roman" w:cs="Times New Roman"/>
          <w:bCs/>
          <w:color w:val="1C1E29"/>
          <w:sz w:val="24"/>
          <w:szCs w:val="24"/>
        </w:rPr>
        <w:t xml:space="preserve"> that conservatism may substitute for the role of management forecasts in reducing information asymmetry between managers and outside market participants. Therefore, we explore the impact of accounting conservatism on forward-looking disclosure as an open question. </w:t>
      </w:r>
    </w:p>
    <w:p w14:paraId="118C8930" w14:textId="21C49ACB" w:rsidR="00FE110A" w:rsidRDefault="00986C91" w:rsidP="00FE110A">
      <w:pPr>
        <w:ind w:firstLine="720"/>
        <w:contextualSpacing/>
        <w:jc w:val="both"/>
        <w:rPr>
          <w:rFonts w:ascii="Times New Roman" w:hAnsi="Times New Roman" w:cs="Times New Roman"/>
          <w:bCs/>
          <w:color w:val="1C1E29"/>
          <w:sz w:val="24"/>
          <w:szCs w:val="24"/>
        </w:rPr>
      </w:pPr>
      <w:r>
        <w:rPr>
          <w:rFonts w:ascii="Times New Roman" w:hAnsi="Times New Roman" w:cs="Times New Roman"/>
          <w:b/>
          <w:bCs/>
          <w:color w:val="1C1E29"/>
          <w:sz w:val="24"/>
          <w:szCs w:val="24"/>
        </w:rPr>
        <w:t xml:space="preserve"> Hypothesis </w:t>
      </w:r>
      <w:r w:rsidR="00145CF7">
        <w:rPr>
          <w:rFonts w:ascii="Times New Roman" w:hAnsi="Times New Roman" w:cs="Times New Roman"/>
          <w:b/>
          <w:bCs/>
          <w:color w:val="1C1E29"/>
          <w:sz w:val="24"/>
          <w:szCs w:val="24"/>
        </w:rPr>
        <w:t>2</w:t>
      </w:r>
      <w:r>
        <w:rPr>
          <w:rFonts w:ascii="Times New Roman" w:hAnsi="Times New Roman" w:cs="Times New Roman"/>
          <w:b/>
          <w:bCs/>
          <w:color w:val="1C1E29"/>
          <w:sz w:val="24"/>
          <w:szCs w:val="24"/>
        </w:rPr>
        <w:t>:</w:t>
      </w:r>
      <w:r w:rsidR="00FE110A" w:rsidRPr="00FE110A">
        <w:rPr>
          <w:rFonts w:ascii="Times New Roman" w:hAnsi="Times New Roman" w:cs="Times New Roman"/>
          <w:bCs/>
          <w:i/>
          <w:color w:val="1C1E29"/>
          <w:sz w:val="24"/>
          <w:szCs w:val="24"/>
        </w:rPr>
        <w:t xml:space="preserve"> </w:t>
      </w:r>
      <w:r>
        <w:rPr>
          <w:rFonts w:ascii="Times New Roman" w:hAnsi="Times New Roman" w:cs="Times New Roman"/>
          <w:bCs/>
          <w:i/>
          <w:color w:val="1C1E29"/>
          <w:sz w:val="24"/>
          <w:szCs w:val="24"/>
        </w:rPr>
        <w:t>C</w:t>
      </w:r>
      <w:r w:rsidR="00FE110A" w:rsidRPr="00FE110A">
        <w:rPr>
          <w:rFonts w:ascii="Times New Roman" w:hAnsi="Times New Roman" w:cs="Times New Roman"/>
          <w:bCs/>
          <w:i/>
          <w:color w:val="1C1E29"/>
          <w:sz w:val="24"/>
          <w:szCs w:val="24"/>
        </w:rPr>
        <w:t xml:space="preserve">onservative reporting </w:t>
      </w:r>
      <w:r>
        <w:rPr>
          <w:rFonts w:ascii="Times New Roman" w:hAnsi="Times New Roman" w:cs="Times New Roman"/>
          <w:bCs/>
          <w:i/>
          <w:color w:val="1C1E29"/>
          <w:sz w:val="24"/>
          <w:szCs w:val="24"/>
        </w:rPr>
        <w:t>does not impact</w:t>
      </w:r>
      <w:r w:rsidR="00FE110A" w:rsidRPr="00FE110A">
        <w:rPr>
          <w:rFonts w:ascii="Times New Roman" w:hAnsi="Times New Roman" w:cs="Times New Roman"/>
          <w:bCs/>
          <w:i/>
          <w:color w:val="1C1E29"/>
          <w:sz w:val="24"/>
          <w:szCs w:val="24"/>
        </w:rPr>
        <w:t xml:space="preserve"> managerial forward-looking infor</w:t>
      </w:r>
      <w:r>
        <w:rPr>
          <w:rFonts w:ascii="Times New Roman" w:hAnsi="Times New Roman" w:cs="Times New Roman"/>
          <w:bCs/>
          <w:i/>
          <w:color w:val="1C1E29"/>
          <w:sz w:val="24"/>
          <w:szCs w:val="24"/>
        </w:rPr>
        <w:t xml:space="preserve">mation disclosure on the conference calls. </w:t>
      </w:r>
    </w:p>
    <w:p w14:paraId="3EA6FFD4" w14:textId="49FA4DF0" w:rsidR="00713906" w:rsidRDefault="00713906" w:rsidP="008458D9">
      <w:pPr>
        <w:spacing w:line="480" w:lineRule="auto"/>
        <w:contextualSpacing/>
        <w:jc w:val="both"/>
        <w:rPr>
          <w:rFonts w:ascii="Times New Roman" w:eastAsia="Times New Roman" w:hAnsi="Times New Roman" w:cs="Times New Roman"/>
          <w:iCs/>
          <w:color w:val="000000"/>
          <w:sz w:val="24"/>
          <w:szCs w:val="24"/>
        </w:rPr>
      </w:pPr>
    </w:p>
    <w:p w14:paraId="6B102816" w14:textId="4410AA44" w:rsidR="00A113D1" w:rsidRPr="00A113D1" w:rsidRDefault="00A113D1" w:rsidP="00C44DA6">
      <w:pPr>
        <w:pStyle w:val="ListParagraph"/>
        <w:numPr>
          <w:ilvl w:val="0"/>
          <w:numId w:val="9"/>
        </w:numPr>
        <w:ind w:left="270" w:hanging="270"/>
        <w:rPr>
          <w:rFonts w:ascii="Times New Roman" w:hAnsi="Times New Roman" w:cs="Times New Roman"/>
          <w:b/>
          <w:i/>
          <w:color w:val="1C1E29"/>
          <w:sz w:val="24"/>
          <w:szCs w:val="24"/>
        </w:rPr>
      </w:pPr>
      <w:r w:rsidRPr="00A113D1">
        <w:rPr>
          <w:rFonts w:ascii="Times New Roman" w:hAnsi="Times New Roman" w:cs="Times New Roman"/>
          <w:b/>
          <w:i/>
          <w:color w:val="1C1E29"/>
          <w:sz w:val="24"/>
          <w:szCs w:val="24"/>
        </w:rPr>
        <w:t xml:space="preserve">Research Design </w:t>
      </w:r>
    </w:p>
    <w:p w14:paraId="687D5E41" w14:textId="42157EA9" w:rsidR="00C44DA6" w:rsidRDefault="00C44DA6" w:rsidP="00C44DA6">
      <w:pPr>
        <w:pStyle w:val="ListParagraph"/>
        <w:ind w:left="270"/>
        <w:rPr>
          <w:rFonts w:ascii="Times New Roman" w:hAnsi="Times New Roman" w:cs="Times New Roman"/>
          <w:b/>
          <w:color w:val="1C1E29"/>
          <w:sz w:val="24"/>
          <w:szCs w:val="24"/>
        </w:rPr>
      </w:pPr>
    </w:p>
    <w:p w14:paraId="71D09784" w14:textId="1D6E009C" w:rsidR="00C24CCA" w:rsidRPr="00C24CCA" w:rsidRDefault="00A113D1" w:rsidP="00C24CCA">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3.1 </w:t>
      </w:r>
      <w:r w:rsidR="00C24CCA" w:rsidRPr="00C24CCA">
        <w:rPr>
          <w:rFonts w:ascii="Times New Roman" w:hAnsi="Times New Roman" w:cs="Times New Roman"/>
          <w:b/>
          <w:sz w:val="24"/>
          <w:szCs w:val="24"/>
        </w:rPr>
        <w:t xml:space="preserve">Measures of </w:t>
      </w:r>
      <w:r w:rsidR="00DE6DAC">
        <w:rPr>
          <w:rFonts w:ascii="Times New Roman" w:hAnsi="Times New Roman" w:cs="Times New Roman"/>
          <w:b/>
          <w:sz w:val="24"/>
          <w:szCs w:val="24"/>
        </w:rPr>
        <w:t xml:space="preserve">Accounting </w:t>
      </w:r>
      <w:r w:rsidR="00C24CCA">
        <w:rPr>
          <w:rFonts w:ascii="Times New Roman" w:hAnsi="Times New Roman" w:cs="Times New Roman"/>
          <w:b/>
          <w:sz w:val="24"/>
          <w:szCs w:val="24"/>
        </w:rPr>
        <w:t>C</w:t>
      </w:r>
      <w:r w:rsidR="00C24CCA" w:rsidRPr="00C24CCA">
        <w:rPr>
          <w:rFonts w:ascii="Times New Roman" w:hAnsi="Times New Roman" w:cs="Times New Roman"/>
          <w:b/>
          <w:sz w:val="24"/>
          <w:szCs w:val="24"/>
        </w:rPr>
        <w:t xml:space="preserve">onservatism </w:t>
      </w:r>
    </w:p>
    <w:p w14:paraId="6A519298" w14:textId="2FAF395A" w:rsidR="00C24CCA" w:rsidRPr="00D369BE" w:rsidRDefault="006333FE" w:rsidP="00C24CCA">
      <w:pPr>
        <w:spacing w:line="480" w:lineRule="auto"/>
        <w:ind w:firstLine="720"/>
        <w:contextualSpacing/>
        <w:jc w:val="both"/>
        <w:rPr>
          <w:rFonts w:ascii="Times New Roman" w:hAnsi="Times New Roman" w:cs="Times New Roman"/>
          <w:b/>
          <w:i/>
          <w:sz w:val="24"/>
          <w:szCs w:val="24"/>
        </w:rPr>
      </w:pPr>
      <w:r>
        <w:rPr>
          <w:rFonts w:ascii="Times New Roman" w:hAnsi="Times New Roman" w:cs="Times New Roman"/>
          <w:sz w:val="24"/>
          <w:szCs w:val="24"/>
        </w:rPr>
        <w:t>We</w:t>
      </w:r>
      <w:r w:rsidR="00C24CCA" w:rsidRPr="00D369BE">
        <w:rPr>
          <w:rFonts w:ascii="Times New Roman" w:hAnsi="Times New Roman" w:cs="Times New Roman"/>
          <w:sz w:val="24"/>
          <w:szCs w:val="24"/>
        </w:rPr>
        <w:t xml:space="preserve"> use four different firm- and year-specific measures of conservatism (</w:t>
      </w:r>
      <w:r w:rsidR="00C24CCA" w:rsidRPr="00D369BE">
        <w:rPr>
          <w:rFonts w:ascii="Times New Roman" w:hAnsi="Times New Roman" w:cs="Times New Roman"/>
          <w:i/>
          <w:sz w:val="24"/>
          <w:szCs w:val="24"/>
        </w:rPr>
        <w:t>CONSER</w:t>
      </w:r>
      <w:r w:rsidR="00C24CCA" w:rsidRPr="00D369BE">
        <w:rPr>
          <w:rFonts w:ascii="Times New Roman" w:hAnsi="Times New Roman" w:cs="Times New Roman"/>
          <w:sz w:val="24"/>
          <w:szCs w:val="24"/>
        </w:rPr>
        <w:t>) following the prior studies (H</w:t>
      </w:r>
      <w:r w:rsidR="00626E7F">
        <w:rPr>
          <w:rFonts w:ascii="Times New Roman" w:hAnsi="Times New Roman" w:cs="Times New Roman"/>
          <w:sz w:val="24"/>
          <w:szCs w:val="24"/>
        </w:rPr>
        <w:t>su</w:t>
      </w:r>
      <w:r w:rsidR="00C24CCA" w:rsidRPr="00D369BE">
        <w:rPr>
          <w:rFonts w:ascii="Times New Roman" w:hAnsi="Times New Roman" w:cs="Times New Roman"/>
          <w:sz w:val="24"/>
          <w:szCs w:val="24"/>
        </w:rPr>
        <w:t xml:space="preserve"> et al. 2017; </w:t>
      </w:r>
      <w:proofErr w:type="spellStart"/>
      <w:r w:rsidR="00C24CCA" w:rsidRPr="00D369BE">
        <w:rPr>
          <w:rFonts w:ascii="Times New Roman" w:hAnsi="Times New Roman" w:cs="Times New Roman"/>
          <w:sz w:val="24"/>
          <w:szCs w:val="24"/>
        </w:rPr>
        <w:t>Ettredge</w:t>
      </w:r>
      <w:proofErr w:type="spellEnd"/>
      <w:r w:rsidR="00C24CCA" w:rsidRPr="00D369BE">
        <w:rPr>
          <w:rFonts w:ascii="Times New Roman" w:hAnsi="Times New Roman" w:cs="Times New Roman"/>
          <w:sz w:val="24"/>
          <w:szCs w:val="24"/>
        </w:rPr>
        <w:t xml:space="preserve"> et al. 2016</w:t>
      </w:r>
      <w:r>
        <w:rPr>
          <w:rFonts w:ascii="Times New Roman" w:hAnsi="Times New Roman" w:cs="Times New Roman"/>
          <w:sz w:val="24"/>
          <w:szCs w:val="24"/>
        </w:rPr>
        <w:t xml:space="preserve">; </w:t>
      </w:r>
      <w:r w:rsidR="00CE609E">
        <w:rPr>
          <w:rFonts w:ascii="Times New Roman" w:hAnsi="Times New Roman" w:cs="Times New Roman"/>
          <w:sz w:val="24"/>
          <w:szCs w:val="24"/>
        </w:rPr>
        <w:t>Donovan, Frankel, and Martin 2015; Zhang 2008</w:t>
      </w:r>
      <w:r w:rsidR="00C24CCA" w:rsidRPr="00D369BE">
        <w:rPr>
          <w:rFonts w:ascii="Times New Roman" w:hAnsi="Times New Roman" w:cs="Times New Roman"/>
          <w:sz w:val="24"/>
          <w:szCs w:val="24"/>
        </w:rPr>
        <w:t xml:space="preserve">). First, we employ the sensitivity of earnings to bad news relative to the sensitivity of earnings to good news, as </w:t>
      </w:r>
      <w:r w:rsidR="00C24CCA" w:rsidRPr="00D369BE">
        <w:rPr>
          <w:rFonts w:ascii="Times New Roman" w:hAnsi="Times New Roman" w:cs="Times New Roman"/>
          <w:i/>
          <w:sz w:val="24"/>
          <w:szCs w:val="24"/>
        </w:rPr>
        <w:t>CONSER_B</w:t>
      </w:r>
      <w:r w:rsidR="00C24CCA" w:rsidRPr="00D369BE">
        <w:rPr>
          <w:rFonts w:ascii="Times New Roman" w:hAnsi="Times New Roman" w:cs="Times New Roman"/>
          <w:sz w:val="24"/>
          <w:szCs w:val="24"/>
        </w:rPr>
        <w:t xml:space="preserve">. </w:t>
      </w:r>
      <w:r>
        <w:rPr>
          <w:rFonts w:ascii="Times New Roman" w:eastAsia="SimSun" w:hAnsi="Times New Roman" w:cs="Times New Roman"/>
          <w:sz w:val="24"/>
          <w:szCs w:val="24"/>
          <w:lang w:eastAsia="en-US"/>
        </w:rPr>
        <w:t>This measure</w:t>
      </w:r>
      <w:r w:rsidR="00C24CCA" w:rsidRPr="00D369BE">
        <w:rPr>
          <w:rFonts w:ascii="Times New Roman" w:eastAsia="SimSun" w:hAnsi="Times New Roman" w:cs="Times New Roman"/>
          <w:sz w:val="24"/>
          <w:szCs w:val="24"/>
          <w:lang w:eastAsia="en-US"/>
        </w:rPr>
        <w:t xml:space="preserve"> is derived from </w:t>
      </w:r>
      <w:proofErr w:type="spellStart"/>
      <w:r w:rsidR="00C24CCA" w:rsidRPr="00D369BE">
        <w:rPr>
          <w:rFonts w:ascii="Times New Roman" w:eastAsia="SimSun" w:hAnsi="Times New Roman" w:cs="Times New Roman"/>
          <w:sz w:val="24"/>
          <w:szCs w:val="24"/>
          <w:lang w:eastAsia="en-US"/>
        </w:rPr>
        <w:t>Basu’s</w:t>
      </w:r>
      <w:proofErr w:type="spellEnd"/>
      <w:r w:rsidR="00C24CCA" w:rsidRPr="00D369BE">
        <w:rPr>
          <w:rFonts w:ascii="Times New Roman" w:eastAsia="SimSun" w:hAnsi="Times New Roman" w:cs="Times New Roman"/>
          <w:sz w:val="24"/>
          <w:szCs w:val="24"/>
          <w:lang w:eastAsia="en-US"/>
        </w:rPr>
        <w:t xml:space="preserve"> (1997) asymmetric timeliness </w:t>
      </w:r>
      <w:r w:rsidR="00C24CCA" w:rsidRPr="00D369BE">
        <w:rPr>
          <w:rFonts w:ascii="Times New Roman" w:eastAsia="SimSun" w:hAnsi="Times New Roman" w:cs="Times New Roman" w:hint="eastAsia"/>
          <w:sz w:val="24"/>
          <w:szCs w:val="24"/>
        </w:rPr>
        <w:t>regression</w:t>
      </w:r>
      <w:r w:rsidR="00C24CCA" w:rsidRPr="00D369BE">
        <w:rPr>
          <w:rFonts w:ascii="Times New Roman" w:eastAsia="SimSun" w:hAnsi="Times New Roman" w:cs="Times New Roman"/>
          <w:sz w:val="24"/>
          <w:szCs w:val="24"/>
          <w:lang w:eastAsia="en-US"/>
        </w:rPr>
        <w:t>:</w:t>
      </w:r>
    </w:p>
    <w:p w14:paraId="5671C3EF" w14:textId="77777777" w:rsidR="00C24CCA" w:rsidRPr="009A72C6" w:rsidRDefault="00C24CCA" w:rsidP="00C24CCA">
      <w:pPr>
        <w:spacing w:line="480" w:lineRule="auto"/>
        <w:ind w:firstLine="420"/>
        <w:contextualSpacing/>
        <w:jc w:val="both"/>
        <w:rPr>
          <w:rFonts w:ascii="Times New Roman" w:eastAsia="SimSun" w:hAnsi="Times New Roman" w:cs="Times New Roman"/>
          <w:sz w:val="24"/>
          <w:szCs w:val="24"/>
          <w:lang w:eastAsia="en-US"/>
        </w:rPr>
      </w:pP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1</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2</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3</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 xml:space="preserve">i </w:t>
      </w:r>
      <w:r w:rsidRPr="009A72C6">
        <w:rPr>
          <w:rFonts w:ascii="Times New Roman" w:eastAsia="SimSun" w:hAnsi="Times New Roman" w:cs="Times New Roman"/>
          <w:i/>
          <w:sz w:val="24"/>
          <w:szCs w:val="24"/>
          <w:lang w:eastAsia="en-US"/>
        </w:rPr>
        <w:t xml:space="preserve">+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proofErr w:type="spellStart"/>
      <w:r w:rsidRPr="009A72C6">
        <w:rPr>
          <w:rFonts w:ascii="Times New Roman" w:eastAsia="SimSun" w:hAnsi="Times New Roman" w:cs="Times New Roman"/>
          <w:i/>
          <w:sz w:val="24"/>
          <w:szCs w:val="24"/>
          <w:lang w:eastAsia="en-US"/>
        </w:rPr>
        <w:t>ε</w:t>
      </w:r>
      <w:r w:rsidRPr="009A72C6">
        <w:rPr>
          <w:rFonts w:ascii="Times New Roman" w:eastAsia="SimSun" w:hAnsi="Times New Roman" w:cs="Times New Roman"/>
          <w:i/>
          <w:sz w:val="24"/>
          <w:szCs w:val="24"/>
          <w:vertAlign w:val="subscript"/>
          <w:lang w:eastAsia="en-US"/>
        </w:rPr>
        <w:t>i</w:t>
      </w:r>
      <w:proofErr w:type="spellEnd"/>
      <w:r w:rsidRPr="009A72C6">
        <w:rPr>
          <w:rFonts w:ascii="Times New Roman" w:eastAsia="SimSun" w:hAnsi="Times New Roman" w:cs="Times New Roman"/>
          <w:sz w:val="24"/>
          <w:szCs w:val="24"/>
          <w:lang w:eastAsia="en-US"/>
        </w:rPr>
        <w:tab/>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lang w:eastAsia="en-US"/>
        </w:rPr>
        <w:t>(1)</w:t>
      </w:r>
    </w:p>
    <w:p w14:paraId="1186C816" w14:textId="3DB1F8E3" w:rsidR="006333FE" w:rsidRDefault="00C24CCA" w:rsidP="00C24CCA">
      <w:pPr>
        <w:spacing w:line="480" w:lineRule="auto"/>
        <w:ind w:firstLine="720"/>
        <w:contextualSpacing/>
        <w:jc w:val="both"/>
        <w:rPr>
          <w:rFonts w:ascii="Times New Roman" w:eastAsia="SimSun" w:hAnsi="Times New Roman" w:cs="Times New Roman"/>
          <w:sz w:val="24"/>
          <w:szCs w:val="24"/>
        </w:rPr>
      </w:pPr>
      <w:r w:rsidRPr="009A72C6">
        <w:rPr>
          <w:rFonts w:ascii="Times New Roman" w:eastAsia="SimSun" w:hAnsi="Times New Roman" w:cs="Times New Roman" w:hint="eastAsia"/>
          <w:sz w:val="24"/>
          <w:szCs w:val="24"/>
        </w:rPr>
        <w:t xml:space="preserve">In Equation (1), </w:t>
      </w: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net income before extraordinary items for </w:t>
      </w:r>
      <w:r w:rsidRPr="009A72C6">
        <w:rPr>
          <w:rFonts w:ascii="Times New Roman" w:eastAsia="SimSun" w:hAnsi="Times New Roman" w:cs="Times New Roman"/>
          <w:sz w:val="24"/>
          <w:szCs w:val="24"/>
        </w:rPr>
        <w:t>firm</w:t>
      </w:r>
      <w:r w:rsidRPr="009A72C6">
        <w:rPr>
          <w:rFonts w:ascii="Times New Roman" w:eastAsia="SimSun" w:hAnsi="Times New Roman" w:cs="Times New Roman" w:hint="eastAsia"/>
          <w:sz w:val="24"/>
          <w:szCs w:val="24"/>
        </w:rPr>
        <w:t xml:space="preserve"> </w:t>
      </w:r>
      <w:proofErr w:type="spellStart"/>
      <w:r w:rsidRPr="009A72C6">
        <w:rPr>
          <w:rFonts w:ascii="Times New Roman" w:eastAsia="SimSun" w:hAnsi="Times New Roman" w:cs="Times New Roman"/>
          <w:i/>
          <w:sz w:val="24"/>
          <w:szCs w:val="24"/>
        </w:rPr>
        <w:t>i</w:t>
      </w:r>
      <w:proofErr w:type="spellEnd"/>
      <w:r w:rsidRPr="009A72C6">
        <w:rPr>
          <w:rFonts w:ascii="Times New Roman" w:eastAsia="SimSun" w:hAnsi="Times New Roman" w:cs="Times New Roman"/>
          <w:sz w:val="24"/>
          <w:szCs w:val="24"/>
          <w:lang w:eastAsia="en-US"/>
        </w:rPr>
        <w:t xml:space="preserve">, scaled by </w:t>
      </w:r>
      <w:r w:rsidR="005D7CB9">
        <w:rPr>
          <w:rFonts w:ascii="Times New Roman" w:eastAsia="SimSun" w:hAnsi="Times New Roman" w:cs="Times New Roman"/>
          <w:sz w:val="24"/>
          <w:szCs w:val="24"/>
          <w:lang w:eastAsia="en-US"/>
        </w:rPr>
        <w:t xml:space="preserve">the </w:t>
      </w:r>
      <w:r w:rsidRPr="009A72C6">
        <w:rPr>
          <w:rFonts w:ascii="Times New Roman" w:eastAsia="SimSun" w:hAnsi="Times New Roman" w:cs="Times New Roman"/>
          <w:sz w:val="24"/>
          <w:szCs w:val="24"/>
          <w:lang w:eastAsia="en-US"/>
        </w:rPr>
        <w:t xml:space="preserve">lagged market value of equity;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 xml:space="preserve">the </w:t>
      </w:r>
      <w:r w:rsidRPr="009A72C6">
        <w:rPr>
          <w:rFonts w:ascii="Times New Roman" w:eastAsia="SimSun" w:hAnsi="Times New Roman" w:cs="Times New Roman"/>
          <w:sz w:val="24"/>
          <w:szCs w:val="24"/>
        </w:rPr>
        <w:t xml:space="preserve">firm </w:t>
      </w:r>
      <w:proofErr w:type="spellStart"/>
      <w:r w:rsidRPr="009A72C6">
        <w:rPr>
          <w:rFonts w:ascii="Times New Roman" w:eastAsia="SimSun" w:hAnsi="Times New Roman" w:cs="Times New Roman"/>
          <w:i/>
          <w:sz w:val="24"/>
          <w:szCs w:val="24"/>
        </w:rPr>
        <w:t>i</w:t>
      </w:r>
      <w:proofErr w:type="spellEnd"/>
      <w:r w:rsidRPr="009A72C6">
        <w:rPr>
          <w:rFonts w:ascii="Times New Roman" w:eastAsia="SimSun" w:hAnsi="Times New Roman" w:cs="Times New Roman"/>
          <w:sz w:val="24"/>
          <w:szCs w:val="24"/>
        </w:rPr>
        <w:t xml:space="preserve"> market-adjusted compound stock return </w:t>
      </w:r>
      <w:r w:rsidRPr="009A72C6">
        <w:rPr>
          <w:rFonts w:ascii="Times New Roman" w:eastAsia="SimSun" w:hAnsi="Times New Roman" w:cs="Times New Roman"/>
          <w:sz w:val="24"/>
          <w:szCs w:val="24"/>
          <w:lang w:eastAsia="en-US"/>
        </w:rPr>
        <w:t>over the 12-month period ending at the fiscal year end</w:t>
      </w:r>
      <w:r w:rsidRPr="009A72C6">
        <w:rPr>
          <w:rFonts w:ascii="Times New Roman" w:eastAsia="SimSun" w:hAnsi="Times New Roman" w:cs="Times New Roman" w:hint="eastAsia"/>
          <w:sz w:val="24"/>
          <w:szCs w:val="24"/>
        </w:rPr>
        <w:t>;</w:t>
      </w:r>
      <w:r w:rsidRPr="009A72C6">
        <w:rPr>
          <w:rFonts w:ascii="Times New Roman" w:eastAsia="SimSun" w:hAnsi="Times New Roman" w:cs="Times New Roman"/>
          <w:sz w:val="24"/>
          <w:szCs w:val="24"/>
          <w:lang w:eastAsia="en-US"/>
        </w:rPr>
        <w:t xml:space="preserve"> </w:t>
      </w:r>
      <w:r w:rsidRPr="009A72C6">
        <w:rPr>
          <w:rFonts w:ascii="Times New Roman" w:eastAsia="SimSun" w:hAnsi="Times New Roman" w:cs="Times New Roman" w:hint="eastAsia"/>
          <w:sz w:val="24"/>
          <w:szCs w:val="24"/>
        </w:rPr>
        <w:t xml:space="preserve">and </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a dichotomous variable defined as one if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negative</w:t>
      </w:r>
      <w:r w:rsidRPr="009A72C6">
        <w:rPr>
          <w:rFonts w:ascii="Times New Roman" w:eastAsia="SimSun" w:hAnsi="Times New Roman" w:cs="Times New Roman"/>
          <w:sz w:val="24"/>
          <w:szCs w:val="24"/>
          <w:lang w:eastAsia="en-US"/>
        </w:rPr>
        <w:t xml:space="preserve">, and as zero otherwise. Coefficient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is the slope coefficient for positive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good news). The slope coefficient for negative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bad news) is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and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is the differential slope for bad versus good economic </w:t>
      </w:r>
      <w:r w:rsidRPr="009A72C6">
        <w:rPr>
          <w:rFonts w:ascii="Times New Roman" w:eastAsia="SimSun" w:hAnsi="Times New Roman" w:cs="Times New Roman"/>
          <w:sz w:val="24"/>
          <w:szCs w:val="24"/>
          <w:lang w:eastAsia="en-US"/>
        </w:rPr>
        <w:lastRenderedPageBreak/>
        <w:t xml:space="preserve">news. Earnings </w:t>
      </w:r>
      <w:r w:rsidRPr="009A72C6">
        <w:rPr>
          <w:rFonts w:ascii="Times New Roman" w:eastAsia="SimSun" w:hAnsi="Times New Roman" w:cs="Times New Roman"/>
          <w:sz w:val="24"/>
          <w:szCs w:val="24"/>
        </w:rPr>
        <w:t>are</w:t>
      </w:r>
      <w:r w:rsidRPr="009A72C6">
        <w:rPr>
          <w:rFonts w:ascii="Times New Roman" w:eastAsia="SimSun" w:hAnsi="Times New Roman" w:cs="Times New Roman" w:hint="eastAsia"/>
          <w:sz w:val="24"/>
          <w:szCs w:val="24"/>
        </w:rPr>
        <w:t xml:space="preserve"> reported</w:t>
      </w:r>
      <w:r w:rsidRPr="009A72C6">
        <w:rPr>
          <w:rFonts w:ascii="Times New Roman" w:eastAsia="SimSun" w:hAnsi="Times New Roman" w:cs="Times New Roman"/>
          <w:sz w:val="24"/>
          <w:szCs w:val="24"/>
          <w:lang w:eastAsia="en-US"/>
        </w:rPr>
        <w:t xml:space="preserve"> conservative</w:t>
      </w:r>
      <w:r w:rsidRPr="009A72C6">
        <w:rPr>
          <w:rFonts w:ascii="Times New Roman" w:eastAsia="SimSun" w:hAnsi="Times New Roman" w:cs="Times New Roman" w:hint="eastAsia"/>
          <w:sz w:val="24"/>
          <w:szCs w:val="24"/>
        </w:rPr>
        <w:t>ly</w:t>
      </w:r>
      <w:r w:rsidRPr="009A72C6">
        <w:rPr>
          <w:rFonts w:ascii="Times New Roman" w:eastAsia="SimSun" w:hAnsi="Times New Roman" w:cs="Times New Roman"/>
          <w:sz w:val="24"/>
          <w:szCs w:val="24"/>
          <w:lang w:eastAsia="en-US"/>
        </w:rPr>
        <w:t xml:space="preserve"> if net income is more sensitive to bad news than to good news, </w:t>
      </w:r>
      <w:r w:rsidRPr="009A72C6">
        <w:rPr>
          <w:rFonts w:ascii="Times New Roman" w:eastAsia="SimSun" w:hAnsi="Times New Roman" w:cs="Times New Roman" w:hint="eastAsia"/>
          <w:sz w:val="24"/>
          <w:szCs w:val="24"/>
        </w:rPr>
        <w:t xml:space="preserve">that is, </w:t>
      </w:r>
      <w:r w:rsidRPr="009A72C6">
        <w:rPr>
          <w:rFonts w:ascii="Times New Roman" w:eastAsia="SimSun" w:hAnsi="Times New Roman" w:cs="Times New Roman"/>
          <w:sz w:val="24"/>
          <w:szCs w:val="24"/>
          <w:lang w:eastAsia="en-US"/>
        </w:rPr>
        <w:t xml:space="preserve">if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sz w:val="24"/>
          <w:szCs w:val="24"/>
          <w:lang w:eastAsia="en-US"/>
        </w:rPr>
        <w:t xml:space="preserve"> is positive.</w:t>
      </w:r>
      <w:r w:rsidRPr="009A72C6">
        <w:rPr>
          <w:rFonts w:ascii="Times New Roman" w:eastAsia="SimSun" w:hAnsi="Times New Roman" w:cs="Times New Roman" w:hint="eastAsia"/>
          <w:sz w:val="24"/>
          <w:szCs w:val="24"/>
        </w:rPr>
        <w:t xml:space="preserve"> </w:t>
      </w:r>
      <w:proofErr w:type="spellStart"/>
      <w:r w:rsidRPr="009A72C6">
        <w:rPr>
          <w:rFonts w:ascii="Times New Roman" w:eastAsia="SimSun" w:hAnsi="Times New Roman" w:cs="Times New Roman"/>
          <w:sz w:val="24"/>
          <w:szCs w:val="24"/>
        </w:rPr>
        <w:t>Basu</w:t>
      </w:r>
      <w:proofErr w:type="spellEnd"/>
      <w:r w:rsidRPr="009A72C6">
        <w:rPr>
          <w:rFonts w:ascii="Times New Roman" w:eastAsia="SimSun" w:hAnsi="Times New Roman" w:cs="Times New Roman"/>
          <w:sz w:val="24"/>
          <w:szCs w:val="24"/>
        </w:rPr>
        <w:t xml:space="preserve"> (1997) defines the sensitivity of earnings to bad news, relative to the sensitivity of earnings to good news, as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rPr>
        <w:t>)/</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w:t>
      </w:r>
      <w:r w:rsidR="006333FE">
        <w:rPr>
          <w:rFonts w:ascii="Times New Roman" w:eastAsia="SimSun" w:hAnsi="Times New Roman" w:cs="Times New Roman"/>
          <w:sz w:val="24"/>
          <w:szCs w:val="24"/>
        </w:rPr>
        <w:t>We</w:t>
      </w:r>
      <w:r w:rsidRPr="00FD12FB">
        <w:rPr>
          <w:rFonts w:ascii="Times New Roman" w:eastAsia="SimSun" w:hAnsi="Times New Roman" w:cs="Times New Roman"/>
          <w:sz w:val="24"/>
          <w:szCs w:val="24"/>
        </w:rPr>
        <w:t xml:space="preserve"> estimate model (1) for each sample firm individually using as many (with a minimum of seven) years of time-series data as are available up to the </w:t>
      </w:r>
      <w:r>
        <w:rPr>
          <w:rFonts w:ascii="Times New Roman" w:eastAsia="SimSun" w:hAnsi="Times New Roman" w:cs="Times New Roman"/>
          <w:sz w:val="24"/>
          <w:szCs w:val="24"/>
        </w:rPr>
        <w:t xml:space="preserve">current year </w:t>
      </w:r>
      <w:r w:rsidR="006333FE">
        <w:rPr>
          <w:rFonts w:ascii="Times New Roman" w:eastAsia="SimSun" w:hAnsi="Times New Roman" w:cs="Times New Roman"/>
          <w:sz w:val="24"/>
          <w:szCs w:val="24"/>
        </w:rPr>
        <w:t xml:space="preserve">following </w:t>
      </w:r>
      <w:proofErr w:type="spellStart"/>
      <w:r>
        <w:rPr>
          <w:rFonts w:ascii="Times New Roman" w:eastAsia="SimSun" w:hAnsi="Times New Roman" w:cs="Times New Roman"/>
          <w:sz w:val="24"/>
          <w:szCs w:val="24"/>
        </w:rPr>
        <w:t>Ettredge</w:t>
      </w:r>
      <w:proofErr w:type="spellEnd"/>
      <w:r>
        <w:rPr>
          <w:rFonts w:ascii="Times New Roman" w:eastAsia="SimSun" w:hAnsi="Times New Roman" w:cs="Times New Roman"/>
          <w:sz w:val="24"/>
          <w:szCs w:val="24"/>
        </w:rPr>
        <w:t xml:space="preserve"> et al. </w:t>
      </w:r>
      <w:r w:rsidR="006333FE">
        <w:rPr>
          <w:rFonts w:ascii="Times New Roman" w:eastAsia="SimSun" w:hAnsi="Times New Roman" w:cs="Times New Roman"/>
          <w:sz w:val="24"/>
          <w:szCs w:val="24"/>
        </w:rPr>
        <w:t>(</w:t>
      </w:r>
      <w:r>
        <w:rPr>
          <w:rFonts w:ascii="Times New Roman" w:eastAsia="SimSun" w:hAnsi="Times New Roman" w:cs="Times New Roman"/>
          <w:sz w:val="24"/>
          <w:szCs w:val="24"/>
        </w:rPr>
        <w:t xml:space="preserve">2016). </w:t>
      </w:r>
    </w:p>
    <w:p w14:paraId="6576852F" w14:textId="6FE3AD6F" w:rsidR="00C24CCA" w:rsidRDefault="00C24CCA" w:rsidP="00B25109">
      <w:pPr>
        <w:spacing w:line="480" w:lineRule="auto"/>
        <w:ind w:firstLine="720"/>
        <w:contextualSpacing/>
        <w:jc w:val="both"/>
        <w:rPr>
          <w:rFonts w:ascii="Times New Roman" w:hAnsi="Times New Roman" w:cs="Times New Roman"/>
          <w:sz w:val="24"/>
          <w:szCs w:val="24"/>
        </w:rPr>
      </w:pPr>
      <w:r>
        <w:rPr>
          <w:rFonts w:ascii="Times New Roman" w:eastAsia="SimSun" w:hAnsi="Times New Roman" w:cs="Times New Roman"/>
          <w:sz w:val="24"/>
          <w:szCs w:val="24"/>
        </w:rPr>
        <w:t xml:space="preserve">Second, </w:t>
      </w:r>
      <w:r w:rsidR="006333FE">
        <w:rPr>
          <w:rFonts w:ascii="Times New Roman" w:eastAsia="SimSun" w:hAnsi="Times New Roman" w:cs="Times New Roman"/>
          <w:sz w:val="24"/>
          <w:szCs w:val="24"/>
        </w:rPr>
        <w:t xml:space="preserve">we </w:t>
      </w:r>
      <w:r>
        <w:rPr>
          <w:rFonts w:ascii="Times New Roman" w:eastAsia="SimSun" w:hAnsi="Times New Roman" w:cs="Times New Roman"/>
          <w:sz w:val="24"/>
          <w:szCs w:val="24"/>
        </w:rPr>
        <w:t xml:space="preserve">obtain </w:t>
      </w:r>
      <w:r w:rsidRPr="007838F3">
        <w:rPr>
          <w:rFonts w:ascii="Times New Roman" w:hAnsi="Times New Roman" w:cs="Times New Roman"/>
          <w:sz w:val="24"/>
          <w:szCs w:val="24"/>
        </w:rPr>
        <w:t>negative non-operating accruals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(e.g., </w:t>
      </w:r>
      <w:proofErr w:type="spellStart"/>
      <w:r w:rsidRPr="007838F3">
        <w:rPr>
          <w:rFonts w:ascii="Times New Roman" w:hAnsi="Times New Roman" w:cs="Times New Roman"/>
          <w:sz w:val="24"/>
          <w:szCs w:val="24"/>
        </w:rPr>
        <w:t>Givoly</w:t>
      </w:r>
      <w:proofErr w:type="spellEnd"/>
      <w:r w:rsidRPr="007838F3">
        <w:rPr>
          <w:rFonts w:ascii="Times New Roman" w:hAnsi="Times New Roman" w:cs="Times New Roman"/>
          <w:sz w:val="24"/>
          <w:szCs w:val="24"/>
        </w:rPr>
        <w:t xml:space="preserve"> and </w:t>
      </w:r>
      <w:proofErr w:type="spellStart"/>
      <w:r w:rsidRPr="007838F3">
        <w:rPr>
          <w:rFonts w:ascii="Times New Roman" w:hAnsi="Times New Roman" w:cs="Times New Roman"/>
          <w:sz w:val="24"/>
          <w:szCs w:val="24"/>
        </w:rPr>
        <w:t>Hayn</w:t>
      </w:r>
      <w:proofErr w:type="spellEnd"/>
      <w:r w:rsidRPr="007838F3">
        <w:rPr>
          <w:rFonts w:ascii="Times New Roman" w:hAnsi="Times New Roman" w:cs="Times New Roman"/>
          <w:sz w:val="24"/>
          <w:szCs w:val="24"/>
        </w:rPr>
        <w:t xml:space="preserve"> 2000; Krishnan and Visvanathan 2008</w:t>
      </w:r>
      <w:r w:rsidR="00761DED">
        <w:rPr>
          <w:rFonts w:ascii="Times New Roman" w:hAnsi="Times New Roman" w:cs="Times New Roman"/>
          <w:sz w:val="24"/>
          <w:szCs w:val="24"/>
        </w:rPr>
        <w:t>; Hsu et al. 2017</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is measured as non-operating accruals divided by the average total assets, which is then averaged over a three-year period (ending in the </w:t>
      </w:r>
      <w:r>
        <w:rPr>
          <w:rFonts w:ascii="Times New Roman" w:hAnsi="Times New Roman" w:cs="Times New Roman"/>
          <w:sz w:val="24"/>
          <w:szCs w:val="24"/>
        </w:rPr>
        <w:t>current year) and multiplied by ‒</w:t>
      </w:r>
      <w:r w:rsidRPr="007838F3">
        <w:rPr>
          <w:rFonts w:ascii="Times New Roman" w:hAnsi="Times New Roman" w:cs="Times New Roman"/>
          <w:sz w:val="24"/>
          <w:szCs w:val="24"/>
        </w:rPr>
        <w:t xml:space="preserve">1. </w:t>
      </w:r>
      <w:r w:rsidR="006333FE">
        <w:rPr>
          <w:rFonts w:ascii="Times New Roman" w:hAnsi="Times New Roman" w:cs="Times New Roman"/>
          <w:sz w:val="24"/>
          <w:szCs w:val="24"/>
        </w:rPr>
        <w:t>Our</w:t>
      </w:r>
      <w:r>
        <w:rPr>
          <w:rFonts w:ascii="Times New Roman" w:hAnsi="Times New Roman" w:cs="Times New Roman"/>
          <w:sz w:val="24"/>
          <w:szCs w:val="24"/>
        </w:rPr>
        <w:t xml:space="preserve"> third measure is </w:t>
      </w:r>
      <w:r w:rsidRPr="007838F3">
        <w:rPr>
          <w:rFonts w:ascii="Times New Roman" w:hAnsi="Times New Roman" w:cs="Times New Roman"/>
          <w:sz w:val="24"/>
          <w:szCs w:val="24"/>
        </w:rPr>
        <w:t>the ratio of current earnings shocks to earnings news</w:t>
      </w:r>
      <w:r>
        <w:rPr>
          <w:rFonts w:ascii="Times New Roman" w:hAnsi="Times New Roman" w:cs="Times New Roman"/>
          <w:sz w:val="24"/>
          <w:szCs w:val="24"/>
        </w:rPr>
        <w:t>, as</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CONSER_CSH</w:t>
      </w:r>
      <w:r w:rsidR="008B7CDF" w:rsidRPr="008B7CDF">
        <w:rPr>
          <w:rFonts w:ascii="Times New Roman" w:hAnsi="Times New Roman" w:cs="Times New Roman"/>
          <w:sz w:val="24"/>
          <w:szCs w:val="24"/>
        </w:rPr>
        <w:t>,</w:t>
      </w:r>
      <w:r w:rsidR="008B7CDF">
        <w:rPr>
          <w:rFonts w:ascii="Times New Roman" w:hAnsi="Times New Roman" w:cs="Times New Roman"/>
          <w:i/>
          <w:sz w:val="24"/>
          <w:szCs w:val="24"/>
        </w:rPr>
        <w:t xml:space="preserve"> </w:t>
      </w:r>
      <w:r w:rsidR="008B7CDF" w:rsidRPr="007838F3">
        <w:rPr>
          <w:rFonts w:ascii="Times New Roman" w:hAnsi="Times New Roman" w:cs="Times New Roman"/>
          <w:sz w:val="24"/>
          <w:szCs w:val="24"/>
        </w:rPr>
        <w:t>follow</w:t>
      </w:r>
      <w:r w:rsidR="008B7CDF">
        <w:rPr>
          <w:rFonts w:ascii="Times New Roman" w:hAnsi="Times New Roman" w:cs="Times New Roman"/>
          <w:sz w:val="24"/>
          <w:szCs w:val="24"/>
        </w:rPr>
        <w:t>ing</w:t>
      </w:r>
      <w:r w:rsidR="008B7CDF" w:rsidRPr="007838F3">
        <w:rPr>
          <w:rFonts w:ascii="Times New Roman" w:hAnsi="Times New Roman" w:cs="Times New Roman"/>
          <w:sz w:val="24"/>
          <w:szCs w:val="24"/>
        </w:rPr>
        <w:t xml:space="preserve"> Callen, Segal, and Hope (2010)</w:t>
      </w:r>
      <w:r w:rsidR="008B7CDF">
        <w:rPr>
          <w:rFonts w:ascii="Times New Roman" w:hAnsi="Times New Roman" w:cs="Times New Roman"/>
          <w:sz w:val="24"/>
          <w:szCs w:val="24"/>
        </w:rPr>
        <w:t xml:space="preserve">. </w:t>
      </w:r>
      <w:r w:rsidRPr="007838F3">
        <w:rPr>
          <w:rFonts w:ascii="Times New Roman" w:hAnsi="Times New Roman" w:cs="Times New Roman"/>
          <w:sz w:val="24"/>
          <w:szCs w:val="24"/>
        </w:rPr>
        <w:t xml:space="preserve"> Current earnings shocks and earnings news are estimated based on a parsimonious vector autoregressive (VAR) model, with three variables consisting of the log of stock returns, log of 1 plus return on equity, and log of book-to-market ratio</w:t>
      </w:r>
      <w:r w:rsidR="008B7CDF">
        <w:rPr>
          <w:rFonts w:ascii="Times New Roman" w:hAnsi="Times New Roman" w:cs="Times New Roman"/>
          <w:sz w:val="24"/>
          <w:szCs w:val="24"/>
        </w:rPr>
        <w:t xml:space="preserve"> (Callen et al. 2010)</w:t>
      </w:r>
      <w:r w:rsidRPr="007838F3">
        <w:rPr>
          <w:rFonts w:ascii="Times New Roman" w:hAnsi="Times New Roman" w:cs="Times New Roman"/>
          <w:sz w:val="24"/>
          <w:szCs w:val="24"/>
        </w:rPr>
        <w:t xml:space="preserve">. </w:t>
      </w:r>
    </w:p>
    <w:p w14:paraId="0EE0425B" w14:textId="0A1E4263" w:rsidR="00C24CCA" w:rsidRDefault="00C24CCA" w:rsidP="00C24CCA">
      <w:pPr>
        <w:spacing w:line="480" w:lineRule="auto"/>
        <w:ind w:firstLine="720"/>
        <w:contextualSpacing/>
        <w:jc w:val="both"/>
        <w:rPr>
          <w:rFonts w:ascii="Times New Roman" w:hAnsi="Times New Roman" w:cs="Times New Roman"/>
          <w:sz w:val="24"/>
          <w:szCs w:val="24"/>
        </w:rPr>
      </w:pPr>
      <w:r w:rsidRPr="007838F3">
        <w:rPr>
          <w:rFonts w:ascii="Times New Roman" w:hAnsi="Times New Roman" w:cs="Times New Roman"/>
          <w:sz w:val="24"/>
          <w:szCs w:val="24"/>
        </w:rPr>
        <w:t xml:space="preserve">Last,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use</w:t>
      </w:r>
      <w:r w:rsidRPr="007838F3">
        <w:rPr>
          <w:rFonts w:ascii="Times New Roman" w:hAnsi="Times New Roman" w:cs="Times New Roman"/>
          <w:sz w:val="24"/>
          <w:szCs w:val="24"/>
        </w:rPr>
        <w:t xml:space="preserve"> the principal component analysis on the above three individual measures of conservatism</w:t>
      </w:r>
      <w:r w:rsidR="00B25109">
        <w:rPr>
          <w:rFonts w:ascii="Times New Roman" w:hAnsi="Times New Roman" w:cs="Times New Roman"/>
          <w:sz w:val="24"/>
          <w:szCs w:val="24"/>
        </w:rPr>
        <w:t xml:space="preserve"> as a composite measure, </w:t>
      </w:r>
      <w:r w:rsidR="00B25109" w:rsidRPr="00607DEE">
        <w:rPr>
          <w:rFonts w:ascii="Times New Roman" w:hAnsi="Times New Roman" w:cs="Times New Roman"/>
          <w:i/>
          <w:sz w:val="24"/>
          <w:szCs w:val="24"/>
        </w:rPr>
        <w:t>CONSER_PCA</w:t>
      </w:r>
      <w:r w:rsidRPr="007838F3">
        <w:rPr>
          <w:rFonts w:ascii="Times New Roman" w:hAnsi="Times New Roman" w:cs="Times New Roman"/>
          <w:sz w:val="24"/>
          <w:szCs w:val="24"/>
        </w:rPr>
        <w:t>. The main advantage of a composite measure is that it provides a better overall assessment of the firm’s level of accounting conservatism, which is determined by several features of its reporting system (</w:t>
      </w:r>
      <w:r w:rsidR="00B25109">
        <w:rPr>
          <w:rFonts w:ascii="Times New Roman" w:hAnsi="Times New Roman" w:cs="Times New Roman"/>
          <w:sz w:val="24"/>
          <w:szCs w:val="24"/>
        </w:rPr>
        <w:t xml:space="preserve">see e.g., </w:t>
      </w:r>
      <w:proofErr w:type="spellStart"/>
      <w:r w:rsidRPr="007838F3">
        <w:rPr>
          <w:rFonts w:ascii="Times New Roman" w:hAnsi="Times New Roman" w:cs="Times New Roman"/>
          <w:sz w:val="24"/>
          <w:szCs w:val="24"/>
        </w:rPr>
        <w:t>Givoly</w:t>
      </w:r>
      <w:proofErr w:type="spellEnd"/>
      <w:r w:rsidRPr="007838F3">
        <w:rPr>
          <w:rFonts w:ascii="Times New Roman" w:hAnsi="Times New Roman" w:cs="Times New Roman"/>
          <w:sz w:val="24"/>
          <w:szCs w:val="24"/>
        </w:rPr>
        <w:t xml:space="preserve">, </w:t>
      </w:r>
      <w:proofErr w:type="spellStart"/>
      <w:r w:rsidRPr="007838F3">
        <w:rPr>
          <w:rFonts w:ascii="Times New Roman" w:hAnsi="Times New Roman" w:cs="Times New Roman"/>
          <w:sz w:val="24"/>
          <w:szCs w:val="24"/>
        </w:rPr>
        <w:t>Hayn</w:t>
      </w:r>
      <w:proofErr w:type="spellEnd"/>
      <w:r w:rsidRPr="007838F3">
        <w:rPr>
          <w:rFonts w:ascii="Times New Roman" w:hAnsi="Times New Roman" w:cs="Times New Roman"/>
          <w:sz w:val="24"/>
          <w:szCs w:val="24"/>
        </w:rPr>
        <w:t>, and Natarajan 2007</w:t>
      </w:r>
      <w:r>
        <w:rPr>
          <w:rFonts w:ascii="Times New Roman" w:hAnsi="Times New Roman" w:cs="Times New Roman"/>
          <w:sz w:val="24"/>
          <w:szCs w:val="24"/>
        </w:rPr>
        <w:t>; Hsu et al. 2017</w:t>
      </w:r>
      <w:r w:rsidRPr="007838F3">
        <w:rPr>
          <w:rFonts w:ascii="Times New Roman" w:hAnsi="Times New Roman" w:cs="Times New Roman"/>
          <w:sz w:val="24"/>
          <w:szCs w:val="24"/>
        </w:rPr>
        <w:t xml:space="preserve">). Higher values of </w:t>
      </w:r>
      <w:r>
        <w:rPr>
          <w:rFonts w:ascii="Times New Roman" w:hAnsi="Times New Roman" w:cs="Times New Roman"/>
          <w:sz w:val="24"/>
          <w:szCs w:val="24"/>
        </w:rPr>
        <w:t>the</w:t>
      </w:r>
      <w:r w:rsidRPr="007838F3">
        <w:rPr>
          <w:rFonts w:ascii="Times New Roman" w:hAnsi="Times New Roman" w:cs="Times New Roman"/>
          <w:sz w:val="24"/>
          <w:szCs w:val="24"/>
        </w:rPr>
        <w:t xml:space="preserve"> conservatism measures represent greater conservatism. Unlike some of the prior studies (e.g., Francis and Martin 2010</w:t>
      </w:r>
      <w:r w:rsidR="008B7CDF">
        <w:rPr>
          <w:rFonts w:ascii="Times New Roman" w:hAnsi="Times New Roman" w:cs="Times New Roman"/>
          <w:sz w:val="24"/>
          <w:szCs w:val="24"/>
        </w:rPr>
        <w:t xml:space="preserve">; </w:t>
      </w:r>
      <w:proofErr w:type="spellStart"/>
      <w:r w:rsidR="008B7CDF">
        <w:rPr>
          <w:rFonts w:ascii="Times New Roman" w:hAnsi="Times New Roman" w:cs="Times New Roman"/>
          <w:sz w:val="24"/>
          <w:szCs w:val="24"/>
        </w:rPr>
        <w:t>Ramalingegowda</w:t>
      </w:r>
      <w:proofErr w:type="spellEnd"/>
      <w:r w:rsidR="008B7CDF">
        <w:rPr>
          <w:rFonts w:ascii="Times New Roman" w:hAnsi="Times New Roman" w:cs="Times New Roman"/>
          <w:sz w:val="24"/>
          <w:szCs w:val="24"/>
        </w:rPr>
        <w:t xml:space="preserve"> and Yu 2012</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do not adopt the </w:t>
      </w:r>
      <w:proofErr w:type="spellStart"/>
      <w:r w:rsidRPr="007838F3">
        <w:rPr>
          <w:rFonts w:ascii="Times New Roman" w:hAnsi="Times New Roman" w:cs="Times New Roman"/>
          <w:sz w:val="24"/>
          <w:szCs w:val="24"/>
        </w:rPr>
        <w:t>Basu</w:t>
      </w:r>
      <w:proofErr w:type="spellEnd"/>
      <w:r w:rsidRPr="007838F3">
        <w:rPr>
          <w:rFonts w:ascii="Times New Roman" w:hAnsi="Times New Roman" w:cs="Times New Roman"/>
          <w:sz w:val="24"/>
          <w:szCs w:val="24"/>
        </w:rPr>
        <w:t xml:space="preserve"> (1997)</w:t>
      </w:r>
      <w:r w:rsidR="008B7CDF">
        <w:rPr>
          <w:rFonts w:ascii="Times New Roman" w:hAnsi="Times New Roman" w:cs="Times New Roman"/>
          <w:sz w:val="24"/>
          <w:szCs w:val="24"/>
        </w:rPr>
        <w:t>’s</w:t>
      </w:r>
      <w:r w:rsidRPr="007838F3">
        <w:rPr>
          <w:rFonts w:ascii="Times New Roman" w:hAnsi="Times New Roman" w:cs="Times New Roman"/>
          <w:sz w:val="24"/>
          <w:szCs w:val="24"/>
        </w:rPr>
        <w:t xml:space="preserv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w:t>
      </w:r>
      <w:r>
        <w:rPr>
          <w:rFonts w:ascii="Times New Roman" w:hAnsi="Times New Roman" w:cs="Times New Roman"/>
          <w:sz w:val="24"/>
          <w:szCs w:val="24"/>
        </w:rPr>
        <w:t xml:space="preserve">interaction </w:t>
      </w:r>
      <w:r w:rsidRPr="007838F3">
        <w:rPr>
          <w:rFonts w:ascii="Times New Roman" w:hAnsi="Times New Roman" w:cs="Times New Roman"/>
          <w:sz w:val="24"/>
          <w:szCs w:val="24"/>
        </w:rPr>
        <w:t xml:space="preserve">model in </w:t>
      </w:r>
      <w:r w:rsidR="00B25109">
        <w:rPr>
          <w:rFonts w:ascii="Times New Roman" w:hAnsi="Times New Roman" w:cs="Times New Roman"/>
          <w:sz w:val="24"/>
          <w:szCs w:val="24"/>
        </w:rPr>
        <w:t>our</w:t>
      </w:r>
      <w:r w:rsidRPr="007838F3">
        <w:rPr>
          <w:rFonts w:ascii="Times New Roman" w:hAnsi="Times New Roman" w:cs="Times New Roman"/>
          <w:sz w:val="24"/>
          <w:szCs w:val="24"/>
        </w:rPr>
        <w:t xml:space="preserve"> regression</w:t>
      </w:r>
      <w:r w:rsidR="00B25109">
        <w:rPr>
          <w:rFonts w:ascii="Times New Roman" w:hAnsi="Times New Roman" w:cs="Times New Roman"/>
          <w:sz w:val="24"/>
          <w:szCs w:val="24"/>
        </w:rPr>
        <w:t>s</w:t>
      </w:r>
      <w:r>
        <w:rPr>
          <w:rFonts w:ascii="Times New Roman" w:hAnsi="Times New Roman" w:cs="Times New Roman"/>
          <w:sz w:val="24"/>
          <w:szCs w:val="24"/>
        </w:rPr>
        <w:t>,</w:t>
      </w:r>
      <w:r w:rsidRPr="007838F3">
        <w:rPr>
          <w:rFonts w:ascii="Times New Roman" w:hAnsi="Times New Roman" w:cs="Times New Roman"/>
          <w:sz w:val="24"/>
          <w:szCs w:val="24"/>
        </w:rPr>
        <w:t xml:space="preserve"> because</w:t>
      </w:r>
      <w:r w:rsidR="00B41DA7">
        <w:rPr>
          <w:rFonts w:ascii="Times New Roman" w:hAnsi="Times New Roman" w:cs="Times New Roman"/>
          <w:sz w:val="24"/>
          <w:szCs w:val="24"/>
        </w:rPr>
        <w:t>,</w:t>
      </w:r>
      <w:r w:rsidRPr="007838F3">
        <w:rPr>
          <w:rFonts w:ascii="Times New Roman" w:hAnsi="Times New Roman" w:cs="Times New Roman"/>
          <w:sz w:val="24"/>
          <w:szCs w:val="24"/>
        </w:rPr>
        <w:t xml:space="preserve"> in </w:t>
      </w:r>
      <w:r w:rsidR="00B25109">
        <w:rPr>
          <w:rFonts w:ascii="Times New Roman" w:hAnsi="Times New Roman" w:cs="Times New Roman"/>
          <w:sz w:val="24"/>
          <w:szCs w:val="24"/>
        </w:rPr>
        <w:t>this</w:t>
      </w:r>
      <w:r w:rsidRPr="007838F3">
        <w:rPr>
          <w:rFonts w:ascii="Times New Roman" w:hAnsi="Times New Roman" w:cs="Times New Roman"/>
          <w:sz w:val="24"/>
          <w:szCs w:val="24"/>
        </w:rPr>
        <w:t xml:space="preserve"> study, the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interactions among the negative </w:t>
      </w:r>
      <w:r w:rsidRPr="007838F3">
        <w:rPr>
          <w:rFonts w:ascii="Times New Roman" w:hAnsi="Times New Roman" w:cs="Times New Roman"/>
          <w:sz w:val="24"/>
          <w:szCs w:val="24"/>
        </w:rPr>
        <w:lastRenderedPageBreak/>
        <w:t xml:space="preserve">return indicator, </w:t>
      </w:r>
      <w:r w:rsidR="008B7CDF">
        <w:rPr>
          <w:rFonts w:ascii="Times New Roman" w:hAnsi="Times New Roman" w:cs="Times New Roman"/>
          <w:sz w:val="24"/>
          <w:szCs w:val="24"/>
        </w:rPr>
        <w:t xml:space="preserve">stock </w:t>
      </w:r>
      <w:r w:rsidRPr="007838F3">
        <w:rPr>
          <w:rFonts w:ascii="Times New Roman" w:hAnsi="Times New Roman" w:cs="Times New Roman"/>
          <w:sz w:val="24"/>
          <w:szCs w:val="24"/>
        </w:rPr>
        <w:t xml:space="preserve">returns, </w:t>
      </w:r>
      <w:r>
        <w:rPr>
          <w:rFonts w:ascii="Times New Roman" w:hAnsi="Times New Roman" w:cs="Times New Roman"/>
          <w:sz w:val="24"/>
          <w:szCs w:val="24"/>
        </w:rPr>
        <w:t>forward-looking statements, R&amp;D investments</w:t>
      </w:r>
      <w:r w:rsidRPr="007838F3">
        <w:rPr>
          <w:rFonts w:ascii="Times New Roman" w:hAnsi="Times New Roman" w:cs="Times New Roman"/>
          <w:sz w:val="24"/>
          <w:szCs w:val="24"/>
        </w:rPr>
        <w:t xml:space="preserve">, and </w:t>
      </w:r>
      <w:r>
        <w:rPr>
          <w:rFonts w:ascii="Times New Roman" w:hAnsi="Times New Roman" w:cs="Times New Roman"/>
          <w:sz w:val="24"/>
          <w:szCs w:val="24"/>
        </w:rPr>
        <w:t xml:space="preserve">growth options </w:t>
      </w:r>
      <w:r w:rsidRPr="007838F3">
        <w:rPr>
          <w:rFonts w:ascii="Times New Roman" w:hAnsi="Times New Roman" w:cs="Times New Roman"/>
          <w:sz w:val="24"/>
          <w:szCs w:val="24"/>
        </w:rPr>
        <w:t>would generate multi</w:t>
      </w:r>
      <w:r>
        <w:rPr>
          <w:rFonts w:ascii="Times New Roman" w:hAnsi="Times New Roman" w:cs="Times New Roman"/>
          <w:sz w:val="24"/>
          <w:szCs w:val="24"/>
        </w:rPr>
        <w:t>-</w:t>
      </w:r>
      <w:r w:rsidRPr="007838F3">
        <w:rPr>
          <w:rFonts w:ascii="Times New Roman" w:hAnsi="Times New Roman" w:cs="Times New Roman"/>
          <w:sz w:val="24"/>
          <w:szCs w:val="24"/>
        </w:rPr>
        <w:t>collinearity problems.</w:t>
      </w:r>
      <w:r w:rsidRPr="00E03F3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sidRPr="007838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D5B0646" w14:textId="77777777" w:rsidR="00C24CCA" w:rsidRDefault="00C24CCA" w:rsidP="00C24CCA">
      <w:pPr>
        <w:rPr>
          <w:rFonts w:ascii="Times New Roman" w:hAnsi="Times New Roman" w:cs="Times New Roman"/>
          <w:b/>
          <w:i/>
          <w:sz w:val="24"/>
          <w:szCs w:val="24"/>
        </w:rPr>
      </w:pPr>
    </w:p>
    <w:p w14:paraId="4C5E4E36" w14:textId="641F0DAB" w:rsidR="00C24CCA" w:rsidRDefault="00A113D1" w:rsidP="00C24CCA">
      <w:pPr>
        <w:rPr>
          <w:rFonts w:ascii="Times New Roman" w:hAnsi="Times New Roman" w:cs="Times New Roman"/>
          <w:b/>
          <w:sz w:val="24"/>
          <w:szCs w:val="24"/>
        </w:rPr>
      </w:pPr>
      <w:r>
        <w:rPr>
          <w:rFonts w:ascii="Times New Roman" w:hAnsi="Times New Roman" w:cs="Times New Roman"/>
          <w:b/>
          <w:sz w:val="24"/>
          <w:szCs w:val="24"/>
        </w:rPr>
        <w:t xml:space="preserve">3.2 </w:t>
      </w:r>
      <w:r w:rsidR="00C24CCA" w:rsidRPr="00C24CCA">
        <w:rPr>
          <w:rFonts w:ascii="Times New Roman" w:hAnsi="Times New Roman" w:cs="Times New Roman"/>
          <w:b/>
          <w:sz w:val="24"/>
          <w:szCs w:val="24"/>
        </w:rPr>
        <w:t xml:space="preserve">Regression </w:t>
      </w:r>
      <w:r w:rsidR="00C24CCA">
        <w:rPr>
          <w:rFonts w:ascii="Times New Roman" w:hAnsi="Times New Roman" w:cs="Times New Roman"/>
          <w:b/>
          <w:sz w:val="24"/>
          <w:szCs w:val="24"/>
        </w:rPr>
        <w:t>M</w:t>
      </w:r>
      <w:r w:rsidR="00C24CCA" w:rsidRPr="00C24CCA">
        <w:rPr>
          <w:rFonts w:ascii="Times New Roman" w:hAnsi="Times New Roman" w:cs="Times New Roman"/>
          <w:b/>
          <w:sz w:val="24"/>
          <w:szCs w:val="24"/>
        </w:rPr>
        <w:t xml:space="preserve">odels </w:t>
      </w:r>
    </w:p>
    <w:p w14:paraId="7C320ED7" w14:textId="77777777" w:rsidR="00C24CCA" w:rsidRPr="00C24CCA" w:rsidRDefault="00C24CCA" w:rsidP="00C24CCA">
      <w:pPr>
        <w:rPr>
          <w:rFonts w:ascii="Times New Roman" w:hAnsi="Times New Roman" w:cs="Times New Roman"/>
          <w:b/>
          <w:sz w:val="24"/>
          <w:szCs w:val="24"/>
        </w:rPr>
      </w:pPr>
    </w:p>
    <w:p w14:paraId="58EB4D73" w14:textId="79C7BB58" w:rsidR="00C24CCA" w:rsidRPr="00BE4149" w:rsidRDefault="00C24CCA" w:rsidP="00C24CCA">
      <w:pPr>
        <w:spacing w:line="480" w:lineRule="auto"/>
        <w:contextualSpacing/>
        <w:jc w:val="both"/>
        <w:rPr>
          <w:rFonts w:ascii="Times New Roman" w:hAnsi="Times New Roman" w:cs="Times New Roman"/>
          <w:sz w:val="24"/>
          <w:szCs w:val="24"/>
        </w:rPr>
      </w:pPr>
      <w:r w:rsidRPr="00BE4149">
        <w:rPr>
          <w:rFonts w:ascii="Times New Roman" w:hAnsi="Times New Roman" w:cs="Times New Roman"/>
          <w:sz w:val="24"/>
          <w:szCs w:val="24"/>
        </w:rPr>
        <w:tab/>
        <w:t>To investigate whether th</w:t>
      </w:r>
      <w:r>
        <w:rPr>
          <w:rFonts w:ascii="Times New Roman" w:hAnsi="Times New Roman" w:cs="Times New Roman"/>
          <w:sz w:val="24"/>
          <w:szCs w:val="24"/>
        </w:rPr>
        <w:t>e interactive effect of forward-</w:t>
      </w:r>
      <w:r w:rsidRPr="00BE4149">
        <w:rPr>
          <w:rFonts w:ascii="Times New Roman" w:hAnsi="Times New Roman" w:cs="Times New Roman"/>
          <w:sz w:val="24"/>
          <w:szCs w:val="24"/>
        </w:rPr>
        <w:t xml:space="preserve">looking </w:t>
      </w:r>
      <w:r w:rsidR="00B25109">
        <w:rPr>
          <w:rFonts w:ascii="Times New Roman" w:hAnsi="Times New Roman" w:cs="Times New Roman"/>
          <w:sz w:val="24"/>
          <w:szCs w:val="24"/>
        </w:rPr>
        <w:t xml:space="preserve">disclosures in conference calls </w:t>
      </w:r>
      <w:r w:rsidRPr="00BE4149">
        <w:rPr>
          <w:rFonts w:ascii="Times New Roman" w:hAnsi="Times New Roman" w:cs="Times New Roman"/>
          <w:sz w:val="24"/>
          <w:szCs w:val="24"/>
        </w:rPr>
        <w:t>and accounting conservatism leads to</w:t>
      </w:r>
      <w:r>
        <w:rPr>
          <w:rFonts w:ascii="Times New Roman" w:hAnsi="Times New Roman" w:cs="Times New Roman"/>
          <w:sz w:val="24"/>
          <w:szCs w:val="24"/>
        </w:rPr>
        <w:t xml:space="preserve"> </w:t>
      </w:r>
      <w:r w:rsidR="00B25109">
        <w:rPr>
          <w:rFonts w:ascii="Times New Roman" w:hAnsi="Times New Roman" w:cs="Times New Roman"/>
          <w:sz w:val="24"/>
          <w:szCs w:val="24"/>
        </w:rPr>
        <w:t>a higher-quality</w:t>
      </w:r>
      <w:r w:rsidRPr="00BE4149">
        <w:rPr>
          <w:rFonts w:ascii="Times New Roman" w:hAnsi="Times New Roman" w:cs="Times New Roman"/>
          <w:sz w:val="24"/>
          <w:szCs w:val="24"/>
        </w:rPr>
        <w:t xml:space="preserve"> information environment, </w:t>
      </w:r>
      <w:r w:rsidR="00B25109">
        <w:rPr>
          <w:rFonts w:ascii="Times New Roman" w:hAnsi="Times New Roman" w:cs="Times New Roman"/>
          <w:sz w:val="24"/>
          <w:szCs w:val="24"/>
        </w:rPr>
        <w:t>we</w:t>
      </w:r>
      <w:r w:rsidRPr="00BE4149">
        <w:rPr>
          <w:rFonts w:ascii="Times New Roman" w:hAnsi="Times New Roman" w:cs="Times New Roman"/>
          <w:sz w:val="24"/>
          <w:szCs w:val="24"/>
        </w:rPr>
        <w:t xml:space="preserve"> estimate the following regressions: </w:t>
      </w:r>
    </w:p>
    <w:p w14:paraId="2C6B8263" w14:textId="635734C3" w:rsidR="00B25109" w:rsidRDefault="00C24CCA" w:rsidP="00C24CCA">
      <w:pPr>
        <w:ind w:left="2250" w:hanging="1530"/>
        <w:rPr>
          <w:rFonts w:ascii="Times New Roman" w:eastAsia="Times New Roman" w:hAnsi="Times New Roman" w:cs="Times New Roman"/>
          <w:color w:val="000000"/>
          <w:sz w:val="24"/>
          <w:szCs w:val="24"/>
        </w:rPr>
      </w:pPr>
      <w:r w:rsidRPr="00782805">
        <w:rPr>
          <w:rFonts w:ascii="Times New Roman" w:eastAsia="Times New Roman" w:hAnsi="Times New Roman" w:cs="Times New Roman"/>
          <w:i/>
          <w:color w:val="000000"/>
          <w:sz w:val="24"/>
          <w:szCs w:val="24"/>
        </w:rPr>
        <w:t>INFO_</w:t>
      </w:r>
      <w:r w:rsidRPr="00E44592">
        <w:rPr>
          <w:rFonts w:ascii="Times New Roman" w:eastAsia="Times New Roman" w:hAnsi="Times New Roman" w:cs="Times New Roman"/>
          <w:i/>
          <w:color w:val="000000"/>
          <w:sz w:val="24"/>
          <w:szCs w:val="24"/>
        </w:rPr>
        <w:t>ENVN</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sidR="002F3274">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E44592">
        <w:rPr>
          <w:rFonts w:ascii="Times New Roman" w:eastAsia="Times New Roman" w:hAnsi="Times New Roman" w:cs="Times New Roman"/>
          <w:color w:val="000000"/>
          <w:sz w:val="24"/>
          <w:szCs w:val="24"/>
        </w:rPr>
        <w:t xml:space="preserve"> </w:t>
      </w:r>
      <w:r w:rsidRPr="00E44592">
        <w:rPr>
          <w:rFonts w:ascii="Times New Roman" w:eastAsia="Times New Roman" w:hAnsi="Times New Roman" w:cs="Times New Roman"/>
          <w:i/>
          <w:color w:val="000000"/>
          <w:sz w:val="24"/>
          <w:szCs w:val="24"/>
        </w:rPr>
        <w:t>CONSER</w:t>
      </w:r>
      <w:r w:rsidRPr="00E44592">
        <w:rPr>
          <w:rFonts w:ascii="Times New Roman" w:eastAsia="Times New Roman" w:hAnsi="Times New Roman" w:cs="Times New Roman"/>
          <w:color w:val="000000"/>
          <w:sz w:val="24"/>
          <w:szCs w:val="24"/>
        </w:rPr>
        <w:t xml:space="preserve"> </w:t>
      </w:r>
    </w:p>
    <w:p w14:paraId="56071AD4" w14:textId="57B5EE42" w:rsidR="00C24CCA" w:rsidRDefault="00C24CCA" w:rsidP="00B25109">
      <w:pPr>
        <w:ind w:left="2250"/>
        <w:rPr>
          <w:rFonts w:ascii="Times New Roman" w:eastAsia="SimSun" w:hAnsi="Times New Roman" w:cs="Times New Roman"/>
          <w:sz w:val="24"/>
          <w:szCs w:val="24"/>
          <w:lang w:eastAsia="en-US"/>
        </w:rPr>
      </w:pPr>
      <w:r w:rsidRPr="00E44592">
        <w:rPr>
          <w:rFonts w:ascii="Times New Roman" w:eastAsia="Times New Roman" w:hAnsi="Times New Roman" w:cs="Times New Roman"/>
          <w:color w:val="000000"/>
          <w:sz w:val="24"/>
          <w:szCs w:val="24"/>
        </w:rPr>
        <w:t xml:space="preserve">+ </w:t>
      </w:r>
      <w:r w:rsidR="00B25109"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sidR="00B2510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9D41C2" w:rsidRPr="009D41C2">
        <w:rPr>
          <w:rFonts w:ascii="Times New Roman" w:eastAsia="Times New Roman" w:hAnsi="Times New Roman" w:cs="Times New Roman"/>
          <w:i/>
          <w:color w:val="000000"/>
          <w:sz w:val="24"/>
          <w:szCs w:val="24"/>
        </w:rPr>
        <w:t>Firm Fixed Effects</w:t>
      </w:r>
      <w:r w:rsidR="009D41C2">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00B25109">
        <w:rPr>
          <w:rFonts w:ascii="Times New Roman" w:hAnsi="Times New Roman" w:cs="Times New Roman"/>
          <w:i/>
          <w:sz w:val="24"/>
          <w:szCs w:val="24"/>
        </w:rPr>
        <w:tab/>
      </w:r>
      <w:r w:rsidR="009D41C2" w:rsidRPr="009A72C6">
        <w:rPr>
          <w:rFonts w:ascii="Times New Roman" w:eastAsia="SimSun" w:hAnsi="Times New Roman" w:cs="Times New Roman"/>
          <w:sz w:val="24"/>
          <w:szCs w:val="24"/>
          <w:lang w:eastAsia="en-US"/>
        </w:rPr>
        <w:t>(</w:t>
      </w:r>
      <w:r w:rsidR="009D41C2">
        <w:rPr>
          <w:rFonts w:ascii="Times New Roman" w:eastAsia="SimSun" w:hAnsi="Times New Roman" w:cs="Times New Roman"/>
          <w:sz w:val="24"/>
          <w:szCs w:val="24"/>
          <w:lang w:eastAsia="en-US"/>
        </w:rPr>
        <w:t>2</w:t>
      </w:r>
      <w:r w:rsidR="009D41C2" w:rsidRPr="009A72C6">
        <w:rPr>
          <w:rFonts w:ascii="Times New Roman" w:eastAsia="SimSun" w:hAnsi="Times New Roman" w:cs="Times New Roman"/>
          <w:sz w:val="24"/>
          <w:szCs w:val="24"/>
          <w:lang w:eastAsia="en-US"/>
        </w:rPr>
        <w:t>)</w:t>
      </w:r>
      <w:r w:rsidR="00B25109">
        <w:rPr>
          <w:rFonts w:ascii="Times New Roman" w:hAnsi="Times New Roman" w:cs="Times New Roman"/>
          <w:i/>
          <w:sz w:val="24"/>
          <w:szCs w:val="24"/>
        </w:rPr>
        <w:tab/>
      </w:r>
      <w:r>
        <w:rPr>
          <w:rFonts w:ascii="Times New Roman" w:hAnsi="Times New Roman" w:cs="Times New Roman"/>
          <w:i/>
          <w:sz w:val="24"/>
          <w:szCs w:val="24"/>
        </w:rPr>
        <w:t xml:space="preserve"> </w:t>
      </w:r>
    </w:p>
    <w:p w14:paraId="76229A8E" w14:textId="66232AEC" w:rsidR="00B25109" w:rsidRDefault="00B25109" w:rsidP="00C24CCA">
      <w:pPr>
        <w:ind w:left="2250" w:hanging="1530"/>
        <w:rPr>
          <w:rFonts w:ascii="Times New Roman" w:eastAsia="Times New Roman" w:hAnsi="Times New Roman" w:cs="Times New Roman"/>
          <w:color w:val="000000"/>
          <w:sz w:val="24"/>
          <w:szCs w:val="24"/>
        </w:rPr>
      </w:pPr>
    </w:p>
    <w:p w14:paraId="22C77073" w14:textId="4785A6A0" w:rsidR="00B04514" w:rsidRDefault="00C24CCA" w:rsidP="00B04514">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where </w:t>
      </w:r>
      <w:r w:rsidRPr="000A696E">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xml:space="preserve"> = </w:t>
      </w:r>
      <w:r w:rsidR="00B04514">
        <w:rPr>
          <w:rFonts w:ascii="Times New Roman" w:eastAsia="Times New Roman" w:hAnsi="Times New Roman" w:cs="Times New Roman"/>
          <w:color w:val="000000"/>
          <w:sz w:val="24"/>
          <w:szCs w:val="24"/>
        </w:rPr>
        <w:t>∆</w:t>
      </w:r>
      <w:r w:rsidRPr="000A696E">
        <w:rPr>
          <w:rFonts w:ascii="Times New Roman" w:eastAsia="Times New Roman" w:hAnsi="Times New Roman" w:cs="Times New Roman"/>
          <w:i/>
          <w:color w:val="000000"/>
          <w:sz w:val="24"/>
          <w:szCs w:val="24"/>
        </w:rPr>
        <w:t>SP</w:t>
      </w:r>
      <w:r>
        <w:rPr>
          <w:rFonts w:ascii="Times New Roman" w:eastAsia="Times New Roman" w:hAnsi="Times New Roman" w:cs="Times New Roman"/>
          <w:i/>
          <w:color w:val="000000"/>
          <w:sz w:val="24"/>
          <w:szCs w:val="24"/>
        </w:rPr>
        <w:t>R</w:t>
      </w:r>
      <w:r w:rsidRPr="000A696E">
        <w:rPr>
          <w:rFonts w:ascii="Times New Roman" w:eastAsia="Times New Roman" w:hAnsi="Times New Roman" w:cs="Times New Roman"/>
          <w:i/>
          <w:color w:val="000000"/>
          <w:sz w:val="24"/>
          <w:szCs w:val="24"/>
        </w:rPr>
        <w:t>EAD</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00B04514">
        <w:rPr>
          <w:rFonts w:ascii="Times New Roman" w:eastAsia="Times New Roman" w:hAnsi="Times New Roman" w:cs="Times New Roman"/>
          <w:color w:val="000000"/>
          <w:sz w:val="24"/>
          <w:szCs w:val="24"/>
        </w:rPr>
        <w:t xml:space="preserve">. </w:t>
      </w:r>
    </w:p>
    <w:p w14:paraId="30E5578E" w14:textId="3FBFF1F1" w:rsidR="00036831" w:rsidRDefault="00C24CCA" w:rsidP="00036831">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The t</w:t>
      </w:r>
      <w:r>
        <w:rPr>
          <w:rFonts w:ascii="Times New Roman" w:eastAsia="Times New Roman" w:hAnsi="Times New Roman" w:cs="Times New Roman"/>
          <w:color w:val="000000"/>
          <w:sz w:val="24"/>
          <w:szCs w:val="24"/>
        </w:rPr>
        <w:t>hree</w:t>
      </w:r>
      <w:r w:rsidRPr="00BE4149">
        <w:rPr>
          <w:rFonts w:ascii="Times New Roman" w:eastAsia="Times New Roman" w:hAnsi="Times New Roman" w:cs="Times New Roman"/>
          <w:color w:val="000000"/>
          <w:sz w:val="24"/>
          <w:szCs w:val="24"/>
        </w:rPr>
        <w:t xml:space="preserve"> measures </w:t>
      </w:r>
      <w:r>
        <w:rPr>
          <w:rFonts w:ascii="Times New Roman" w:eastAsia="Times New Roman" w:hAnsi="Times New Roman" w:cs="Times New Roman"/>
          <w:color w:val="000000"/>
          <w:sz w:val="24"/>
          <w:szCs w:val="24"/>
        </w:rPr>
        <w:t xml:space="preserve">of information environment </w:t>
      </w:r>
      <w:r w:rsidRPr="00BE4149">
        <w:rPr>
          <w:rFonts w:ascii="Times New Roman" w:eastAsia="Times New Roman" w:hAnsi="Times New Roman" w:cs="Times New Roman"/>
          <w:color w:val="000000"/>
          <w:sz w:val="24"/>
          <w:szCs w:val="24"/>
        </w:rPr>
        <w:t xml:space="preserve">capture </w:t>
      </w:r>
      <w:r w:rsidR="00B04514">
        <w:rPr>
          <w:rFonts w:ascii="Times New Roman" w:eastAsia="Times New Roman" w:hAnsi="Times New Roman" w:cs="Times New Roman"/>
          <w:color w:val="000000"/>
          <w:sz w:val="24"/>
          <w:szCs w:val="24"/>
        </w:rPr>
        <w:t xml:space="preserve">the changes in </w:t>
      </w:r>
      <w:r w:rsidRPr="00BE4149">
        <w:rPr>
          <w:rFonts w:ascii="Times New Roman" w:eastAsia="Times New Roman" w:hAnsi="Times New Roman" w:cs="Times New Roman"/>
          <w:color w:val="000000"/>
          <w:sz w:val="24"/>
          <w:szCs w:val="24"/>
        </w:rPr>
        <w:t>different aspects of the information environment</w:t>
      </w:r>
      <w:r w:rsidR="00B04514">
        <w:rPr>
          <w:rFonts w:ascii="Times New Roman" w:eastAsia="Times New Roman" w:hAnsi="Times New Roman" w:cs="Times New Roman"/>
          <w:color w:val="000000"/>
          <w:sz w:val="24"/>
          <w:szCs w:val="24"/>
        </w:rPr>
        <w:t xml:space="preserve"> from before to after the </w:t>
      </w:r>
      <w:r w:rsidR="00FC3161">
        <w:rPr>
          <w:rFonts w:ascii="Times New Roman" w:eastAsia="Times New Roman" w:hAnsi="Times New Roman" w:cs="Times New Roman"/>
          <w:color w:val="000000"/>
          <w:sz w:val="24"/>
          <w:szCs w:val="24"/>
        </w:rPr>
        <w:t xml:space="preserve">earnings </w:t>
      </w:r>
      <w:r w:rsidR="00B04514">
        <w:rPr>
          <w:rFonts w:ascii="Times New Roman" w:eastAsia="Times New Roman" w:hAnsi="Times New Roman" w:cs="Times New Roman"/>
          <w:color w:val="000000"/>
          <w:sz w:val="24"/>
          <w:szCs w:val="24"/>
        </w:rPr>
        <w:t>conference calls</w:t>
      </w:r>
      <w:r w:rsidRPr="00BE4149">
        <w:rPr>
          <w:rFonts w:ascii="Times New Roman" w:eastAsia="Times New Roman" w:hAnsi="Times New Roman" w:cs="Times New Roman"/>
          <w:color w:val="000000"/>
          <w:sz w:val="24"/>
          <w:szCs w:val="24"/>
        </w:rPr>
        <w:t xml:space="preserve">: information </w:t>
      </w:r>
      <w:r>
        <w:rPr>
          <w:rFonts w:ascii="Times New Roman" w:eastAsia="Times New Roman" w:hAnsi="Times New Roman" w:cs="Times New Roman"/>
          <w:color w:val="000000"/>
          <w:sz w:val="24"/>
          <w:szCs w:val="24"/>
        </w:rPr>
        <w:t xml:space="preserve">asymmetry, </w:t>
      </w:r>
      <w:r w:rsidRPr="00B04514">
        <w:rPr>
          <w:rFonts w:ascii="Times New Roman" w:eastAsia="Times New Roman" w:hAnsi="Times New Roman" w:cs="Times New Roman"/>
          <w:color w:val="000000"/>
          <w:sz w:val="24"/>
          <w:szCs w:val="24"/>
        </w:rPr>
        <w:t>precision</w:t>
      </w:r>
      <w:r>
        <w:rPr>
          <w:rFonts w:ascii="Times New Roman" w:eastAsia="Times New Roman" w:hAnsi="Times New Roman" w:cs="Times New Roman"/>
          <w:color w:val="000000"/>
          <w:sz w:val="24"/>
          <w:szCs w:val="24"/>
        </w:rPr>
        <w:t xml:space="preserve">, and </w:t>
      </w:r>
      <w:r w:rsidRPr="00BE4149">
        <w:rPr>
          <w:rFonts w:ascii="Times New Roman" w:eastAsia="Times New Roman" w:hAnsi="Times New Roman" w:cs="Times New Roman"/>
          <w:color w:val="000000"/>
          <w:sz w:val="24"/>
          <w:szCs w:val="24"/>
        </w:rPr>
        <w:t xml:space="preserve">uncertainty. </w:t>
      </w:r>
      <w:r w:rsidR="00B04514">
        <w:rPr>
          <w:rFonts w:ascii="Times New Roman" w:eastAsia="Times New Roman" w:hAnsi="Times New Roman" w:cs="Times New Roman"/>
          <w:color w:val="000000"/>
          <w:sz w:val="24"/>
          <w:szCs w:val="24"/>
        </w:rPr>
        <w:t>The average b</w:t>
      </w:r>
      <w:r w:rsidRPr="00BE4149">
        <w:rPr>
          <w:rFonts w:ascii="Times New Roman" w:eastAsia="Times New Roman" w:hAnsi="Times New Roman" w:cs="Times New Roman"/>
          <w:color w:val="000000"/>
          <w:sz w:val="24"/>
          <w:szCs w:val="24"/>
        </w:rPr>
        <w:t xml:space="preserve">id-ask spread captures the extent to which some investors are better informed than others, </w:t>
      </w:r>
      <w:r w:rsidR="00B04514">
        <w:rPr>
          <w:rFonts w:ascii="Times New Roman" w:eastAsia="Times New Roman" w:hAnsi="Times New Roman" w:cs="Times New Roman"/>
          <w:color w:val="000000"/>
          <w:sz w:val="24"/>
          <w:szCs w:val="24"/>
        </w:rPr>
        <w:t xml:space="preserve">which is </w:t>
      </w:r>
      <w:r w:rsidRPr="00BE4149">
        <w:rPr>
          <w:rFonts w:ascii="Times New Roman" w:eastAsia="Times New Roman" w:hAnsi="Times New Roman" w:cs="Times New Roman"/>
          <w:color w:val="000000"/>
          <w:sz w:val="24"/>
          <w:szCs w:val="24"/>
        </w:rPr>
        <w:t xml:space="preserve">an important dimension of the information environment (Kyle 1985). </w:t>
      </w:r>
      <w:r w:rsidR="00B04514" w:rsidRPr="00B04514">
        <w:rPr>
          <w:rFonts w:ascii="Times New Roman" w:eastAsia="Times New Roman" w:hAnsi="Times New Roman" w:cs="Times New Roman"/>
          <w:color w:val="000000"/>
          <w:sz w:val="24"/>
          <w:szCs w:val="24"/>
        </w:rPr>
        <w:t xml:space="preserve">Firms </w:t>
      </w:r>
      <w:r w:rsidRPr="00B04514">
        <w:rPr>
          <w:rFonts w:ascii="Times New Roman" w:eastAsia="Times New Roman" w:hAnsi="Times New Roman" w:cs="Times New Roman"/>
          <w:color w:val="000000"/>
          <w:sz w:val="24"/>
          <w:szCs w:val="24"/>
        </w:rPr>
        <w:t xml:space="preserve">with </w:t>
      </w:r>
      <w:r w:rsidR="00FC3161">
        <w:rPr>
          <w:rFonts w:ascii="Times New Roman" w:eastAsia="Times New Roman" w:hAnsi="Times New Roman" w:cs="Times New Roman"/>
          <w:color w:val="000000"/>
          <w:sz w:val="24"/>
          <w:szCs w:val="24"/>
        </w:rPr>
        <w:t xml:space="preserve">more </w:t>
      </w:r>
      <w:r w:rsidR="00B04514" w:rsidRPr="00B04514">
        <w:rPr>
          <w:rFonts w:ascii="Times New Roman" w:eastAsia="Times New Roman" w:hAnsi="Times New Roman" w:cs="Times New Roman"/>
          <w:color w:val="000000"/>
          <w:sz w:val="24"/>
          <w:szCs w:val="24"/>
        </w:rPr>
        <w:t xml:space="preserve">informative managerial disclosures </w:t>
      </w:r>
      <w:r w:rsidRPr="00BE4149">
        <w:rPr>
          <w:rFonts w:ascii="Times New Roman" w:eastAsia="Times New Roman" w:hAnsi="Times New Roman" w:cs="Times New Roman"/>
          <w:color w:val="000000"/>
          <w:sz w:val="24"/>
          <w:szCs w:val="24"/>
        </w:rPr>
        <w:t xml:space="preserve">tend to have </w:t>
      </w:r>
      <w:r w:rsidR="00FC3161">
        <w:rPr>
          <w:rFonts w:ascii="Times New Roman" w:eastAsia="Times New Roman" w:hAnsi="Times New Roman" w:cs="Times New Roman"/>
          <w:color w:val="000000"/>
          <w:sz w:val="24"/>
          <w:szCs w:val="24"/>
        </w:rPr>
        <w:t xml:space="preserve">smaller </w:t>
      </w:r>
      <w:r w:rsidRPr="00BE4149">
        <w:rPr>
          <w:rFonts w:ascii="Times New Roman" w:eastAsia="Times New Roman" w:hAnsi="Times New Roman" w:cs="Times New Roman"/>
          <w:color w:val="000000"/>
          <w:sz w:val="24"/>
          <w:szCs w:val="24"/>
        </w:rPr>
        <w:t>analyst forecast error</w:t>
      </w:r>
      <w:r w:rsidR="00B72B4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and </w:t>
      </w:r>
      <w:r w:rsidR="00FC3161">
        <w:rPr>
          <w:rFonts w:ascii="Times New Roman" w:eastAsia="Times New Roman" w:hAnsi="Times New Roman" w:cs="Times New Roman"/>
          <w:color w:val="000000"/>
          <w:sz w:val="24"/>
          <w:szCs w:val="24"/>
        </w:rPr>
        <w:t>narrower</w:t>
      </w:r>
      <w:r>
        <w:rPr>
          <w:rFonts w:ascii="Times New Roman" w:eastAsia="Times New Roman" w:hAnsi="Times New Roman" w:cs="Times New Roman"/>
          <w:color w:val="000000"/>
          <w:sz w:val="24"/>
          <w:szCs w:val="24"/>
        </w:rPr>
        <w:t xml:space="preserve"> forecast dispersion</w:t>
      </w:r>
      <w:r w:rsidR="00CE4E79">
        <w:rPr>
          <w:rFonts w:ascii="Times New Roman" w:eastAsia="Times New Roman" w:hAnsi="Times New Roman" w:cs="Times New Roman"/>
          <w:color w:val="000000"/>
          <w:sz w:val="24"/>
          <w:szCs w:val="24"/>
        </w:rPr>
        <w:t xml:space="preserve"> (Gilson, Healy, Noe, and Palepu 2001</w:t>
      </w:r>
      <w:r w:rsidR="00FC3161">
        <w:rPr>
          <w:rFonts w:ascii="Times New Roman" w:eastAsia="Times New Roman" w:hAnsi="Times New Roman" w:cs="Times New Roman"/>
          <w:color w:val="000000"/>
          <w:sz w:val="24"/>
          <w:szCs w:val="24"/>
        </w:rPr>
        <w:t xml:space="preserve">Bryan and </w:t>
      </w:r>
      <w:proofErr w:type="spellStart"/>
      <w:r w:rsidR="00FC3161">
        <w:rPr>
          <w:rFonts w:ascii="Times New Roman" w:eastAsia="Times New Roman" w:hAnsi="Times New Roman" w:cs="Times New Roman"/>
          <w:color w:val="000000"/>
          <w:sz w:val="24"/>
          <w:szCs w:val="24"/>
        </w:rPr>
        <w:t>Tiras</w:t>
      </w:r>
      <w:proofErr w:type="spellEnd"/>
      <w:r w:rsidR="00FC3161">
        <w:rPr>
          <w:rFonts w:ascii="Times New Roman" w:eastAsia="Times New Roman" w:hAnsi="Times New Roman" w:cs="Times New Roman"/>
          <w:color w:val="000000"/>
          <w:sz w:val="24"/>
          <w:szCs w:val="24"/>
        </w:rPr>
        <w:t xml:space="preserve"> 2007; </w:t>
      </w:r>
      <w:r w:rsidR="00CE4E79">
        <w:rPr>
          <w:rFonts w:ascii="Times New Roman" w:eastAsia="Times New Roman" w:hAnsi="Times New Roman" w:cs="Times New Roman"/>
          <w:color w:val="000000"/>
          <w:sz w:val="24"/>
          <w:szCs w:val="24"/>
        </w:rPr>
        <w:t xml:space="preserve">Peterson, </w:t>
      </w:r>
      <w:proofErr w:type="spellStart"/>
      <w:r w:rsidR="00CE4E79">
        <w:rPr>
          <w:rFonts w:ascii="Times New Roman" w:eastAsia="Times New Roman" w:hAnsi="Times New Roman" w:cs="Times New Roman"/>
          <w:color w:val="000000"/>
          <w:sz w:val="24"/>
          <w:szCs w:val="24"/>
        </w:rPr>
        <w:t>Schmardebeck</w:t>
      </w:r>
      <w:proofErr w:type="spellEnd"/>
      <w:r w:rsidR="00CE4E79">
        <w:rPr>
          <w:rFonts w:ascii="Times New Roman" w:eastAsia="Times New Roman" w:hAnsi="Times New Roman" w:cs="Times New Roman"/>
          <w:color w:val="000000"/>
          <w:sz w:val="24"/>
          <w:szCs w:val="24"/>
        </w:rPr>
        <w:t>, and Wilks 2015)</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lower </w:t>
      </w:r>
      <w:r w:rsidR="00B72B43">
        <w:rPr>
          <w:rFonts w:ascii="Times New Roman" w:eastAsia="Times New Roman" w:hAnsi="Times New Roman" w:cs="Times New Roman"/>
          <w:color w:val="000000"/>
          <w:sz w:val="24"/>
          <w:szCs w:val="24"/>
        </w:rPr>
        <w:t xml:space="preserve">magnitude of </w:t>
      </w:r>
      <w:r w:rsidR="00B04514">
        <w:rPr>
          <w:rFonts w:ascii="Times New Roman" w:eastAsia="Times New Roman" w:hAnsi="Times New Roman" w:cs="Times New Roman"/>
          <w:color w:val="000000"/>
          <w:sz w:val="24"/>
          <w:szCs w:val="24"/>
        </w:rPr>
        <w:t>∆</w:t>
      </w:r>
      <w:r w:rsidRPr="0078280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w:t>
      </w:r>
      <w:r w:rsidRPr="00BE4149">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782805">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or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Pr="00782805">
        <w:rPr>
          <w:rFonts w:ascii="Times New Roman" w:eastAsia="Times New Roman" w:hAnsi="Times New Roman" w:cs="Times New Roman"/>
          <w:i/>
          <w:color w:val="000000"/>
          <w:sz w:val="24"/>
          <w:szCs w:val="24"/>
        </w:rPr>
        <w:t xml:space="preserve"> </w:t>
      </w:r>
      <w:r w:rsidRPr="00BE4149">
        <w:rPr>
          <w:rFonts w:ascii="Times New Roman" w:eastAsia="Times New Roman" w:hAnsi="Times New Roman" w:cs="Times New Roman"/>
          <w:color w:val="000000"/>
          <w:sz w:val="24"/>
          <w:szCs w:val="24"/>
        </w:rPr>
        <w:t>indicate</w:t>
      </w:r>
      <w:r>
        <w:rPr>
          <w:rFonts w:ascii="Times New Roman" w:eastAsia="Times New Roman" w:hAnsi="Times New Roman" w:cs="Times New Roman"/>
          <w:color w:val="000000"/>
          <w:sz w:val="24"/>
          <w:szCs w:val="24"/>
        </w:rPr>
        <w:t>s</w:t>
      </w:r>
      <w:r w:rsidR="00CE4E79">
        <w:rPr>
          <w:rFonts w:ascii="Times New Roman" w:eastAsia="Times New Roman" w:hAnsi="Times New Roman" w:cs="Times New Roman"/>
          <w:color w:val="000000"/>
          <w:sz w:val="24"/>
          <w:szCs w:val="24"/>
        </w:rPr>
        <w:t xml:space="preserve"> an improvement in </w:t>
      </w:r>
      <w:r w:rsidR="002F3274">
        <w:rPr>
          <w:rFonts w:ascii="Times New Roman" w:eastAsia="Times New Roman" w:hAnsi="Times New Roman" w:cs="Times New Roman"/>
          <w:color w:val="000000"/>
          <w:sz w:val="24"/>
          <w:szCs w:val="24"/>
        </w:rPr>
        <w:t xml:space="preserve">the </w:t>
      </w:r>
      <w:r w:rsidR="00B72B43">
        <w:rPr>
          <w:rFonts w:ascii="Times New Roman" w:eastAsia="Times New Roman" w:hAnsi="Times New Roman" w:cs="Times New Roman"/>
          <w:color w:val="000000"/>
          <w:sz w:val="24"/>
          <w:szCs w:val="24"/>
        </w:rPr>
        <w:t>firm</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 xml:space="preserve">information environment. </w:t>
      </w:r>
    </w:p>
    <w:p w14:paraId="554A5A2F" w14:textId="20A2475B" w:rsidR="000C2B6F" w:rsidRDefault="000C2B6F" w:rsidP="00BC29F9">
      <w:pPr>
        <w:spacing w:line="480" w:lineRule="auto"/>
        <w:ind w:firstLine="720"/>
        <w:contextualSpacing/>
        <w:jc w:val="both"/>
        <w:rPr>
          <w:rFonts w:ascii="Times New Roman" w:eastAsia="Times New Roman" w:hAnsi="Times New Roman" w:cs="Times New Roman"/>
          <w:color w:val="000000"/>
          <w:sz w:val="24"/>
          <w:szCs w:val="24"/>
        </w:rPr>
      </w:pPr>
      <w:r w:rsidRPr="00F753F5">
        <w:rPr>
          <w:rFonts w:ascii="Times New Roman" w:eastAsia="Times New Roman" w:hAnsi="Times New Roman" w:cs="Times New Roman"/>
          <w:color w:val="000000"/>
          <w:sz w:val="24"/>
          <w:szCs w:val="24"/>
        </w:rPr>
        <w:t xml:space="preserve">To identify </w:t>
      </w:r>
      <w:r>
        <w:rPr>
          <w:rFonts w:ascii="Times New Roman" w:eastAsia="Times New Roman" w:hAnsi="Times New Roman" w:cs="Times New Roman"/>
          <w:color w:val="000000"/>
          <w:sz w:val="24"/>
          <w:szCs w:val="24"/>
        </w:rPr>
        <w:t>forward-looking statements disclosed during the earnings conference calls</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753F5">
        <w:rPr>
          <w:rFonts w:ascii="Times New Roman" w:eastAsia="Times New Roman" w:hAnsi="Times New Roman" w:cs="Times New Roman"/>
          <w:color w:val="000000"/>
          <w:sz w:val="24"/>
          <w:szCs w:val="24"/>
        </w:rPr>
        <w:t xml:space="preserve"> follow </w:t>
      </w:r>
      <w:proofErr w:type="spellStart"/>
      <w:r>
        <w:rPr>
          <w:rFonts w:ascii="Times New Roman" w:eastAsia="Times New Roman" w:hAnsi="Times New Roman" w:cs="Times New Roman"/>
          <w:color w:val="000000"/>
          <w:sz w:val="24"/>
          <w:szCs w:val="24"/>
        </w:rPr>
        <w:t>Bozanic</w:t>
      </w:r>
      <w:proofErr w:type="spellEnd"/>
      <w:r>
        <w:rPr>
          <w:rFonts w:ascii="Times New Roman" w:eastAsia="Times New Roman" w:hAnsi="Times New Roman" w:cs="Times New Roman"/>
          <w:color w:val="000000"/>
          <w:sz w:val="24"/>
          <w:szCs w:val="24"/>
        </w:rPr>
        <w:t xml:space="preserve"> et al. (2008) and Li (2010)</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compute the proportion of sentences containing forward-looking statements in the presentation and in the responses to analysts’ questions during </w:t>
      </w:r>
      <w:r>
        <w:rPr>
          <w:rFonts w:ascii="Times New Roman" w:eastAsia="Times New Roman" w:hAnsi="Times New Roman" w:cs="Times New Roman"/>
          <w:color w:val="000000"/>
          <w:sz w:val="24"/>
          <w:szCs w:val="24"/>
        </w:rPr>
        <w:lastRenderedPageBreak/>
        <w:t>the call, respectively</w:t>
      </w:r>
      <w:r w:rsidRPr="00F753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F753F5">
        <w:rPr>
          <w:rFonts w:ascii="Times New Roman" w:eastAsia="Times New Roman" w:hAnsi="Times New Roman" w:cs="Times New Roman"/>
          <w:color w:val="000000"/>
          <w:sz w:val="24"/>
          <w:szCs w:val="24"/>
        </w:rPr>
        <w:t xml:space="preserve">Specifically, </w:t>
      </w:r>
      <w:r>
        <w:rPr>
          <w:rFonts w:ascii="Times New Roman" w:eastAsia="Times New Roman" w:hAnsi="Times New Roman" w:cs="Times New Roman"/>
          <w:color w:val="000000"/>
          <w:sz w:val="24"/>
          <w:szCs w:val="24"/>
        </w:rPr>
        <w:t xml:space="preserve">we classify the sentences in the conference call as forward-looking sentences if they include at least one forward-looking terms based on the dictionary of Li (2010) and </w:t>
      </w:r>
      <w:proofErr w:type="spellStart"/>
      <w:r>
        <w:rPr>
          <w:rFonts w:ascii="Times New Roman" w:eastAsia="Times New Roman" w:hAnsi="Times New Roman" w:cs="Times New Roman"/>
          <w:color w:val="000000"/>
          <w:sz w:val="24"/>
          <w:szCs w:val="24"/>
        </w:rPr>
        <w:t>Bozanic</w:t>
      </w:r>
      <w:proofErr w:type="spellEnd"/>
      <w:r>
        <w:rPr>
          <w:rFonts w:ascii="Times New Roman" w:eastAsia="Times New Roman" w:hAnsi="Times New Roman" w:cs="Times New Roman"/>
          <w:color w:val="000000"/>
          <w:sz w:val="24"/>
          <w:szCs w:val="24"/>
        </w:rPr>
        <w:t xml:space="preserve"> et al. (2018)</w:t>
      </w:r>
      <w:r w:rsidRPr="00F753F5">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 xml:space="preserve">zero </w:t>
      </w:r>
      <w:r w:rsidRPr="00F753F5">
        <w:rPr>
          <w:rFonts w:ascii="Times New Roman" w:eastAsia="Times New Roman" w:hAnsi="Times New Roman" w:cs="Times New Roman"/>
          <w:color w:val="000000"/>
          <w:sz w:val="24"/>
          <w:szCs w:val="24"/>
        </w:rPr>
        <w:t xml:space="preserve">otherwise. </w:t>
      </w:r>
      <w:r>
        <w:rPr>
          <w:rFonts w:ascii="Times New Roman" w:eastAsia="Times New Roman" w:hAnsi="Times New Roman" w:cs="Times New Roman"/>
          <w:color w:val="000000"/>
          <w:sz w:val="24"/>
          <w:szCs w:val="24"/>
        </w:rPr>
        <w:t xml:space="preserve">We then capture forward-looking statements in the management presentation, as </w:t>
      </w:r>
      <w:r w:rsidRPr="00C37892">
        <w:rPr>
          <w:rFonts w:ascii="Times New Roman" w:eastAsia="Times New Roman" w:hAnsi="Times New Roman" w:cs="Times New Roman"/>
          <w:i/>
          <w:color w:val="000000"/>
          <w:sz w:val="24"/>
          <w:szCs w:val="24"/>
        </w:rPr>
        <w:t>FWDLOOK (Present)</w:t>
      </w:r>
      <w:r>
        <w:rPr>
          <w:rFonts w:ascii="Times New Roman" w:eastAsia="Times New Roman" w:hAnsi="Times New Roman" w:cs="Times New Roman"/>
          <w:color w:val="000000"/>
          <w:sz w:val="24"/>
          <w:szCs w:val="24"/>
        </w:rPr>
        <w:t xml:space="preserve">, and in the managerial responses to analyst questions in the Q&amp;A sections, as </w:t>
      </w:r>
      <w:r w:rsidRPr="00C37892">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respectively.</w:t>
      </w:r>
      <w:r>
        <w:rPr>
          <w:rStyle w:val="FootnoteReference"/>
          <w:rFonts w:ascii="Times New Roman" w:eastAsia="Times New Roman" w:hAnsi="Times New Roman" w:cs="Times New Roman"/>
          <w:color w:val="000000"/>
          <w:sz w:val="24"/>
          <w:szCs w:val="24"/>
        </w:rPr>
        <w:footnoteReference w:id="4"/>
      </w:r>
      <w:r>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construct our sample using conference call tra</w:t>
      </w:r>
      <w:r w:rsidR="00BC29F9">
        <w:rPr>
          <w:rFonts w:ascii="Times New Roman" w:eastAsia="Times New Roman" w:hAnsi="Times New Roman" w:cs="Times New Roman"/>
          <w:color w:val="000000"/>
          <w:sz w:val="24"/>
          <w:szCs w:val="24"/>
        </w:rPr>
        <w:t>nscripts from SeekingAlpha.com</w:t>
      </w:r>
      <w:r w:rsidR="00BC29F9" w:rsidRPr="00F753F5">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begin the samp</w:t>
      </w:r>
      <w:r w:rsidR="00BC29F9">
        <w:rPr>
          <w:rFonts w:ascii="Times New Roman" w:eastAsia="Times New Roman" w:hAnsi="Times New Roman" w:cs="Times New Roman"/>
          <w:color w:val="000000"/>
          <w:sz w:val="24"/>
          <w:szCs w:val="24"/>
        </w:rPr>
        <w:t xml:space="preserve">le in 2006 when conference calls </w:t>
      </w:r>
      <w:r w:rsidR="00BC29F9" w:rsidRPr="00F753F5">
        <w:rPr>
          <w:rFonts w:ascii="Times New Roman" w:eastAsia="Times New Roman" w:hAnsi="Times New Roman" w:cs="Times New Roman"/>
          <w:color w:val="000000"/>
          <w:sz w:val="24"/>
          <w:szCs w:val="24"/>
        </w:rPr>
        <w:t>become well-populated on SeekingAlpha.com and conclude in 2016.</w:t>
      </w:r>
    </w:p>
    <w:p w14:paraId="6EDD83D0" w14:textId="77777777" w:rsidR="00BC29F9" w:rsidRDefault="00BC29F9" w:rsidP="00BC29F9">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variable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Pr>
          <w:rFonts w:ascii="Times New Roman" w:eastAsia="Times New Roman" w:hAnsi="Times New Roman" w:cs="Times New Roman"/>
          <w:color w:val="000000"/>
          <w:sz w:val="24"/>
          <w:szCs w:val="24"/>
        </w:rPr>
        <w:t xml:space="preserve"> is one of the four conservatism measures discussed previously. We use the first principle component of the </w:t>
      </w:r>
      <w:r w:rsidRPr="00CE4E79">
        <w:rPr>
          <w:rFonts w:ascii="Times New Roman" w:eastAsia="Times New Roman" w:hAnsi="Times New Roman" w:cs="Times New Roman"/>
          <w:i/>
          <w:color w:val="000000"/>
          <w:sz w:val="24"/>
          <w:szCs w:val="24"/>
        </w:rPr>
        <w:t>FWDLOOK(Present)</w:t>
      </w:r>
      <w:r>
        <w:rPr>
          <w:rFonts w:ascii="Times New Roman" w:eastAsia="Times New Roman" w:hAnsi="Times New Roman" w:cs="Times New Roman"/>
          <w:color w:val="000000"/>
          <w:sz w:val="24"/>
          <w:szCs w:val="24"/>
        </w:rPr>
        <w:t xml:space="preserve"> and </w:t>
      </w:r>
      <w:r w:rsidRPr="00CE4E79">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xml:space="preserve"> and combine them into a single variable as </w:t>
      </w:r>
      <w:r w:rsidRPr="00CD7E6F">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Our variable of interest is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CE4E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H1 predicts </w:t>
      </w:r>
      <w:r>
        <w:rPr>
          <w:rFonts w:ascii="Times New Roman" w:eastAsia="Times New Roman" w:hAnsi="Times New Roman" w:cs="Times New Roman"/>
          <w:color w:val="000000"/>
          <w:sz w:val="24"/>
          <w:szCs w:val="24"/>
        </w:rPr>
        <w:t xml:space="preserve">the coefficient of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8B7CDF">
        <w:rPr>
          <w:rFonts w:ascii="Times New Roman" w:eastAsia="Times New Roman" w:hAnsi="Times New Roman" w:cs="Times New Roman"/>
          <w:bCs/>
          <w:iCs/>
          <w:color w:val="000000"/>
          <w:sz w:val="24"/>
        </w:rPr>
        <w:t>,</w:t>
      </w:r>
      <w:r>
        <w:rPr>
          <w:rFonts w:ascii="Times New Roman" w:eastAsia="Times New Roman" w:hAnsi="Times New Roman" w:cs="Times New Roman"/>
          <w:bCs/>
          <w:i/>
          <w:iCs/>
          <w:color w:val="000000"/>
          <w:sz w:val="24"/>
        </w:rPr>
        <w:t xml:space="preserve">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bCs/>
          <w:iCs/>
          <w:color w:val="000000"/>
          <w:sz w:val="24"/>
          <w:vertAlign w:val="subscript"/>
        </w:rPr>
        <w:t xml:space="preserve"> </w:t>
      </w:r>
      <w:r w:rsidRPr="0037300B">
        <w:rPr>
          <w:rFonts w:ascii="Times New Roman" w:eastAsia="Times New Roman" w:hAnsi="Times New Roman" w:cs="Times New Roman"/>
          <w:color w:val="000000"/>
          <w:sz w:val="24"/>
          <w:szCs w:val="24"/>
        </w:rPr>
        <w:t>in Equation (</w:t>
      </w:r>
      <w:r>
        <w:rPr>
          <w:rFonts w:ascii="Times New Roman" w:eastAsia="Times New Roman" w:hAnsi="Times New Roman" w:cs="Times New Roman"/>
          <w:color w:val="000000"/>
          <w:sz w:val="24"/>
          <w:szCs w:val="24"/>
        </w:rPr>
        <w:t>2</w:t>
      </w:r>
      <w:r w:rsidRPr="0037300B">
        <w:rPr>
          <w:rFonts w:ascii="Times New Roman" w:eastAsia="Times New Roman" w:hAnsi="Times New Roman" w:cs="Times New Roman"/>
          <w:color w:val="000000"/>
          <w:sz w:val="24"/>
          <w:szCs w:val="24"/>
        </w:rPr>
        <w:t xml:space="preserve">) to be </w:t>
      </w:r>
      <w:r>
        <w:rPr>
          <w:rFonts w:ascii="Times New Roman" w:eastAsia="Times New Roman" w:hAnsi="Times New Roman" w:cs="Times New Roman"/>
          <w:color w:val="000000"/>
          <w:sz w:val="24"/>
          <w:szCs w:val="24"/>
        </w:rPr>
        <w:t>negative</w:t>
      </w:r>
      <w:r w:rsidRPr="0037300B">
        <w:rPr>
          <w:rFonts w:ascii="Times New Roman" w:eastAsia="Times New Roman" w:hAnsi="Times New Roman" w:cs="Times New Roman"/>
          <w:color w:val="000000"/>
          <w:sz w:val="24"/>
          <w:szCs w:val="24"/>
        </w:rPr>
        <w:t>, suggesting</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that </w:t>
      </w:r>
      <w:r>
        <w:rPr>
          <w:rFonts w:ascii="Times New Roman" w:eastAsia="Times New Roman" w:hAnsi="Times New Roman" w:cs="Times New Roman"/>
          <w:color w:val="000000"/>
          <w:sz w:val="24"/>
          <w:szCs w:val="24"/>
        </w:rPr>
        <w:t>firms with higher conservatism that disclose</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forward-looking information</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 conference calls improve their information environment</w:t>
      </w:r>
      <w:r w:rsidRPr="003730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5E21F0D6" w14:textId="3315D5FE"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 xml:space="preserve">As for </w:t>
      </w:r>
      <w:r w:rsidRPr="00782805">
        <w:rPr>
          <w:rFonts w:ascii="Times New Roman" w:eastAsia="Times New Roman" w:hAnsi="Times New Roman" w:cs="Times New Roman"/>
          <w:i/>
          <w:color w:val="000000"/>
          <w:sz w:val="24"/>
          <w:szCs w:val="24"/>
        </w:rPr>
        <w:t>CONTROLS</w:t>
      </w:r>
      <w:r w:rsidRPr="00BE4149">
        <w:rPr>
          <w:rFonts w:ascii="Times New Roman" w:eastAsia="Times New Roman" w:hAnsi="Times New Roman" w:cs="Times New Roman"/>
          <w:color w:val="000000"/>
          <w:sz w:val="24"/>
          <w:szCs w:val="24"/>
        </w:rPr>
        <w:t xml:space="preserve"> in Equation (</w:t>
      </w:r>
      <w:r w:rsidR="00B72B43">
        <w:rPr>
          <w:rFonts w:ascii="Times New Roman" w:eastAsia="Times New Roman" w:hAnsi="Times New Roman" w:cs="Times New Roman"/>
          <w:color w:val="000000"/>
          <w:sz w:val="24"/>
          <w:szCs w:val="24"/>
        </w:rPr>
        <w:t>2</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 xml:space="preserve">first </w:t>
      </w:r>
      <w:r w:rsidRPr="00BE4149">
        <w:rPr>
          <w:rFonts w:ascii="Times New Roman" w:eastAsia="Times New Roman" w:hAnsi="Times New Roman" w:cs="Times New Roman"/>
          <w:color w:val="000000"/>
          <w:sz w:val="24"/>
          <w:szCs w:val="24"/>
        </w:rPr>
        <w:t xml:space="preserve">include </w:t>
      </w:r>
      <w:r w:rsidR="00B72B43">
        <w:rPr>
          <w:rFonts w:ascii="Times New Roman" w:eastAsia="Times New Roman" w:hAnsi="Times New Roman" w:cs="Times New Roman"/>
          <w:color w:val="000000"/>
          <w:sz w:val="24"/>
          <w:szCs w:val="24"/>
        </w:rPr>
        <w:t xml:space="preserve">the </w:t>
      </w:r>
      <w:r w:rsidR="008B7CDF">
        <w:rPr>
          <w:rFonts w:ascii="Times New Roman" w:eastAsia="Times New Roman" w:hAnsi="Times New Roman" w:cs="Times New Roman"/>
          <w:color w:val="000000"/>
          <w:sz w:val="24"/>
          <w:szCs w:val="24"/>
        </w:rPr>
        <w:t xml:space="preserve">factors and </w:t>
      </w:r>
      <w:r w:rsidRPr="00BE4149">
        <w:rPr>
          <w:rFonts w:ascii="Times New Roman" w:eastAsia="Times New Roman" w:hAnsi="Times New Roman" w:cs="Times New Roman"/>
          <w:color w:val="000000"/>
          <w:sz w:val="24"/>
          <w:szCs w:val="24"/>
        </w:rPr>
        <w:t>variables that are known to be correlated with accounting conservatism</w:t>
      </w:r>
      <w:r w:rsidR="008B7CDF">
        <w:rPr>
          <w:rFonts w:ascii="Times New Roman" w:eastAsia="Times New Roman" w:hAnsi="Times New Roman" w:cs="Times New Roman"/>
          <w:color w:val="000000"/>
          <w:sz w:val="24"/>
          <w:szCs w:val="24"/>
        </w:rPr>
        <w:t xml:space="preserve"> (Lang and </w:t>
      </w:r>
      <w:proofErr w:type="spellStart"/>
      <w:r w:rsidR="008B7CDF">
        <w:rPr>
          <w:rFonts w:ascii="Times New Roman" w:eastAsia="Times New Roman" w:hAnsi="Times New Roman" w:cs="Times New Roman"/>
          <w:color w:val="000000"/>
          <w:sz w:val="24"/>
          <w:szCs w:val="24"/>
        </w:rPr>
        <w:t>Lundholm</w:t>
      </w:r>
      <w:proofErr w:type="spellEnd"/>
      <w:r w:rsidR="008B7CDF">
        <w:rPr>
          <w:rFonts w:ascii="Times New Roman" w:eastAsia="Times New Roman" w:hAnsi="Times New Roman" w:cs="Times New Roman"/>
          <w:color w:val="000000"/>
          <w:sz w:val="24"/>
          <w:szCs w:val="24"/>
        </w:rPr>
        <w:t xml:space="preserve"> 1996; </w:t>
      </w:r>
      <w:r w:rsidR="008B7CDF" w:rsidRPr="00BE4149">
        <w:rPr>
          <w:rFonts w:ascii="Times New Roman" w:eastAsia="Times New Roman" w:hAnsi="Times New Roman" w:cs="Times New Roman"/>
          <w:color w:val="000000"/>
          <w:sz w:val="24"/>
          <w:szCs w:val="24"/>
        </w:rPr>
        <w:t>Ryan 2006; Chung and W</w:t>
      </w:r>
      <w:r w:rsidR="008B7CDF">
        <w:rPr>
          <w:rFonts w:ascii="Times New Roman" w:eastAsia="Times New Roman" w:hAnsi="Times New Roman" w:cs="Times New Roman"/>
          <w:color w:val="000000"/>
          <w:sz w:val="24"/>
          <w:szCs w:val="24"/>
        </w:rPr>
        <w:t xml:space="preserve">ynn 2008; </w:t>
      </w:r>
      <w:r w:rsidR="008B7CDF" w:rsidRPr="00BE4149">
        <w:rPr>
          <w:rFonts w:ascii="Times New Roman" w:eastAsia="Times New Roman" w:hAnsi="Times New Roman" w:cs="Times New Roman"/>
          <w:color w:val="000000"/>
          <w:sz w:val="24"/>
          <w:szCs w:val="24"/>
        </w:rPr>
        <w:t>Khan and Watts 2009</w:t>
      </w:r>
      <w:r w:rsidR="008B7CDF">
        <w:rPr>
          <w:rFonts w:ascii="Times New Roman" w:eastAsia="Times New Roman" w:hAnsi="Times New Roman" w:cs="Times New Roman"/>
          <w:color w:val="000000"/>
          <w:sz w:val="24"/>
          <w:szCs w:val="24"/>
        </w:rPr>
        <w:t xml:space="preserve">; </w:t>
      </w:r>
      <w:proofErr w:type="spellStart"/>
      <w:r w:rsidR="008B7CDF" w:rsidRPr="0000045E">
        <w:rPr>
          <w:rFonts w:ascii="Times New Roman" w:eastAsia="Times New Roman" w:hAnsi="Times New Roman" w:cs="Times New Roman"/>
          <w:color w:val="000000"/>
          <w:sz w:val="24"/>
          <w:szCs w:val="24"/>
        </w:rPr>
        <w:t>Kross</w:t>
      </w:r>
      <w:proofErr w:type="spellEnd"/>
      <w:r w:rsidR="008B7CDF" w:rsidRPr="0000045E">
        <w:rPr>
          <w:rFonts w:ascii="Times New Roman" w:eastAsia="Times New Roman" w:hAnsi="Times New Roman" w:cs="Times New Roman"/>
          <w:color w:val="000000"/>
          <w:sz w:val="24"/>
          <w:szCs w:val="24"/>
        </w:rPr>
        <w:t>, Ro, and Suk 2011</w:t>
      </w:r>
      <w:r w:rsidR="008B7CDF">
        <w:rPr>
          <w:rFonts w:ascii="Times New Roman" w:eastAsia="Times New Roman" w:hAnsi="Times New Roman" w:cs="Times New Roman"/>
          <w:color w:val="000000"/>
          <w:sz w:val="24"/>
          <w:szCs w:val="24"/>
        </w:rPr>
        <w:t xml:space="preserve">; </w:t>
      </w:r>
      <w:r w:rsidR="008B7CDF" w:rsidRPr="00504F02">
        <w:rPr>
          <w:rFonts w:ascii="Times New Roman" w:hAnsi="Times New Roman" w:cs="Times New Roman"/>
          <w:noProof/>
          <w:sz w:val="24"/>
          <w:szCs w:val="24"/>
        </w:rPr>
        <w:t>Heflin, Hsu, and Jin 2015</w:t>
      </w:r>
      <w:r w:rsidR="008B7CDF">
        <w:rPr>
          <w:rFonts w:ascii="Times New Roman" w:hAnsi="Times New Roman" w:cs="Times New Roman"/>
          <w:noProof/>
          <w:sz w:val="24"/>
          <w:szCs w:val="24"/>
        </w:rPr>
        <w:t xml:space="preserve">; </w:t>
      </w:r>
      <w:proofErr w:type="spellStart"/>
      <w:r w:rsidR="008B7CDF">
        <w:rPr>
          <w:rFonts w:ascii="Times New Roman" w:eastAsia="Times New Roman" w:hAnsi="Times New Roman" w:cs="Times New Roman"/>
          <w:color w:val="000000"/>
          <w:sz w:val="24"/>
          <w:szCs w:val="24"/>
        </w:rPr>
        <w:t>Ettredge</w:t>
      </w:r>
      <w:proofErr w:type="spellEnd"/>
      <w:r w:rsidR="008B7CDF">
        <w:rPr>
          <w:rFonts w:ascii="Times New Roman" w:eastAsia="Times New Roman" w:hAnsi="Times New Roman" w:cs="Times New Roman"/>
          <w:color w:val="000000"/>
          <w:sz w:val="24"/>
          <w:szCs w:val="24"/>
        </w:rPr>
        <w:t xml:space="preserve"> et al. 2016; </w:t>
      </w:r>
      <w:proofErr w:type="spellStart"/>
      <w:r w:rsidR="008B7CDF">
        <w:rPr>
          <w:rFonts w:ascii="Times New Roman" w:eastAsia="Times New Roman" w:hAnsi="Times New Roman" w:cs="Times New Roman"/>
          <w:color w:val="000000"/>
          <w:sz w:val="24"/>
          <w:szCs w:val="24"/>
        </w:rPr>
        <w:t>Basu</w:t>
      </w:r>
      <w:proofErr w:type="spellEnd"/>
      <w:r w:rsidR="008B7CDF">
        <w:rPr>
          <w:rFonts w:ascii="Times New Roman" w:eastAsia="Times New Roman" w:hAnsi="Times New Roman" w:cs="Times New Roman"/>
          <w:color w:val="000000"/>
          <w:sz w:val="24"/>
          <w:szCs w:val="24"/>
        </w:rPr>
        <w:t xml:space="preserve"> and Liang 2019)</w:t>
      </w:r>
      <w:r w:rsidRPr="00BE4149">
        <w:rPr>
          <w:rFonts w:ascii="Times New Roman" w:eastAsia="Times New Roman" w:hAnsi="Times New Roman" w:cs="Times New Roman"/>
          <w:color w:val="000000"/>
          <w:sz w:val="24"/>
          <w:szCs w:val="24"/>
        </w:rPr>
        <w:t xml:space="preserve">. Specifically,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include firm size, </w:t>
      </w:r>
      <w:r>
        <w:rPr>
          <w:rFonts w:ascii="Times New Roman" w:eastAsia="Times New Roman" w:hAnsi="Times New Roman" w:cs="Times New Roman"/>
          <w:color w:val="000000"/>
          <w:sz w:val="24"/>
          <w:szCs w:val="24"/>
        </w:rPr>
        <w:t>market-to-book</w:t>
      </w:r>
      <w:r w:rsidRPr="00BE4149">
        <w:rPr>
          <w:rFonts w:ascii="Times New Roman" w:eastAsia="Times New Roman" w:hAnsi="Times New Roman" w:cs="Times New Roman"/>
          <w:color w:val="000000"/>
          <w:sz w:val="24"/>
          <w:szCs w:val="24"/>
        </w:rPr>
        <w:t xml:space="preserve"> ratio, leverage ratio, firm age (Ryan 2006; Khan and Watts 2009), </w:t>
      </w:r>
      <w:r>
        <w:rPr>
          <w:rFonts w:ascii="Times New Roman" w:eastAsia="Times New Roman" w:hAnsi="Times New Roman" w:cs="Times New Roman"/>
          <w:color w:val="000000"/>
          <w:sz w:val="24"/>
          <w:szCs w:val="24"/>
        </w:rPr>
        <w:t xml:space="preserve">investment cycle (Khan and Watts 2009), </w:t>
      </w:r>
      <w:r w:rsidR="00B72B43">
        <w:rPr>
          <w:rFonts w:ascii="Times New Roman" w:eastAsia="Times New Roman" w:hAnsi="Times New Roman" w:cs="Times New Roman"/>
          <w:color w:val="000000"/>
          <w:sz w:val="24"/>
          <w:szCs w:val="24"/>
        </w:rPr>
        <w:t xml:space="preserve">analyst following </w:t>
      </w:r>
      <w:r w:rsidR="00CC5251">
        <w:rPr>
          <w:rFonts w:ascii="Times New Roman" w:eastAsia="Times New Roman" w:hAnsi="Times New Roman" w:cs="Times New Roman"/>
          <w:color w:val="000000"/>
          <w:sz w:val="24"/>
          <w:szCs w:val="24"/>
        </w:rPr>
        <w:t>(</w:t>
      </w:r>
      <w:r w:rsidR="00DE359E">
        <w:rPr>
          <w:rFonts w:ascii="Times New Roman" w:eastAsia="Times New Roman" w:hAnsi="Times New Roman" w:cs="Times New Roman"/>
          <w:color w:val="000000"/>
          <w:sz w:val="24"/>
          <w:szCs w:val="24"/>
        </w:rPr>
        <w:t xml:space="preserve">Lang and </w:t>
      </w:r>
      <w:proofErr w:type="spellStart"/>
      <w:r w:rsidR="00DE359E">
        <w:rPr>
          <w:rFonts w:ascii="Times New Roman" w:eastAsia="Times New Roman" w:hAnsi="Times New Roman" w:cs="Times New Roman"/>
          <w:color w:val="000000"/>
          <w:sz w:val="24"/>
          <w:szCs w:val="24"/>
        </w:rPr>
        <w:t>Lundholm</w:t>
      </w:r>
      <w:proofErr w:type="spellEnd"/>
      <w:r w:rsidR="00DE359E">
        <w:rPr>
          <w:rFonts w:ascii="Times New Roman" w:eastAsia="Times New Roman" w:hAnsi="Times New Roman" w:cs="Times New Roman"/>
          <w:color w:val="000000"/>
          <w:sz w:val="24"/>
          <w:szCs w:val="24"/>
        </w:rPr>
        <w:t xml:space="preserve"> 1996; </w:t>
      </w:r>
      <w:r w:rsidR="00504F02" w:rsidRPr="00504F02">
        <w:rPr>
          <w:rFonts w:ascii="Times New Roman" w:hAnsi="Times New Roman" w:cs="Times New Roman"/>
          <w:noProof/>
          <w:sz w:val="24"/>
          <w:szCs w:val="24"/>
        </w:rPr>
        <w:t>Heflin, Hsu, and Jin 2015</w:t>
      </w:r>
      <w:r w:rsidR="00CC5251">
        <w:rPr>
          <w:rFonts w:ascii="Times New Roman" w:hAnsi="Times New Roman" w:cs="Times New Roman"/>
          <w:noProof/>
          <w:sz w:val="24"/>
          <w:szCs w:val="24"/>
        </w:rPr>
        <w:t xml:space="preserve">), </w:t>
      </w:r>
      <w:r>
        <w:rPr>
          <w:rFonts w:ascii="Times New Roman" w:eastAsia="Times New Roman" w:hAnsi="Times New Roman" w:cs="Times New Roman"/>
          <w:color w:val="000000"/>
          <w:sz w:val="24"/>
          <w:szCs w:val="24"/>
        </w:rPr>
        <w:t xml:space="preserve">and </w:t>
      </w:r>
      <w:r w:rsidRPr="00BE4149">
        <w:rPr>
          <w:rFonts w:ascii="Times New Roman" w:eastAsia="Times New Roman" w:hAnsi="Times New Roman" w:cs="Times New Roman"/>
          <w:color w:val="000000"/>
          <w:sz w:val="24"/>
          <w:szCs w:val="24"/>
        </w:rPr>
        <w:t>litigation risk (Chung and W</w:t>
      </w:r>
      <w:r>
        <w:rPr>
          <w:rFonts w:ascii="Times New Roman" w:eastAsia="Times New Roman" w:hAnsi="Times New Roman" w:cs="Times New Roman"/>
          <w:color w:val="000000"/>
          <w:sz w:val="24"/>
          <w:szCs w:val="24"/>
        </w:rPr>
        <w:t>ynn 2008; Khan and Watts 2009</w:t>
      </w:r>
      <w:r w:rsidR="00CE609E">
        <w:rPr>
          <w:rFonts w:ascii="Times New Roman" w:eastAsia="Times New Roman" w:hAnsi="Times New Roman" w:cs="Times New Roman"/>
          <w:color w:val="000000"/>
          <w:sz w:val="24"/>
          <w:szCs w:val="24"/>
        </w:rPr>
        <w:t xml:space="preserve">; </w:t>
      </w:r>
      <w:proofErr w:type="spellStart"/>
      <w:r w:rsidR="00CE609E">
        <w:rPr>
          <w:rFonts w:ascii="Times New Roman" w:eastAsia="Times New Roman" w:hAnsi="Times New Roman" w:cs="Times New Roman"/>
          <w:color w:val="000000"/>
          <w:sz w:val="24"/>
          <w:szCs w:val="24"/>
        </w:rPr>
        <w:t>Basu</w:t>
      </w:r>
      <w:proofErr w:type="spellEnd"/>
      <w:r w:rsidR="00CE609E">
        <w:rPr>
          <w:rFonts w:ascii="Times New Roman" w:eastAsia="Times New Roman" w:hAnsi="Times New Roman" w:cs="Times New Roman"/>
          <w:color w:val="000000"/>
          <w:sz w:val="24"/>
          <w:szCs w:val="24"/>
        </w:rPr>
        <w:t xml:space="preserve"> and Liang 2019</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Firm size (</w:t>
      </w:r>
      <w:r w:rsidRPr="00B52975">
        <w:rPr>
          <w:rFonts w:ascii="Times New Roman" w:eastAsia="Times New Roman" w:hAnsi="Times New Roman" w:cs="Times New Roman"/>
          <w:i/>
          <w:color w:val="000000"/>
          <w:sz w:val="24"/>
          <w:szCs w:val="24"/>
        </w:rPr>
        <w:t>SIZE</w:t>
      </w:r>
      <w:r w:rsidRPr="00BE4149">
        <w:rPr>
          <w:rFonts w:ascii="Times New Roman" w:eastAsia="Times New Roman" w:hAnsi="Times New Roman" w:cs="Times New Roman"/>
          <w:color w:val="000000"/>
          <w:sz w:val="24"/>
          <w:szCs w:val="24"/>
        </w:rPr>
        <w:t xml:space="preserve">) is equal to the natural log of the market value of equity. </w:t>
      </w:r>
      <w:r>
        <w:rPr>
          <w:rFonts w:ascii="Times New Roman" w:eastAsia="Times New Roman" w:hAnsi="Times New Roman" w:cs="Times New Roman"/>
          <w:color w:val="000000"/>
          <w:sz w:val="24"/>
          <w:szCs w:val="24"/>
        </w:rPr>
        <w:t>Market</w:t>
      </w:r>
      <w:r w:rsidRPr="00BE4149">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book</w:t>
      </w:r>
      <w:r w:rsidRPr="00BE4149">
        <w:rPr>
          <w:rFonts w:ascii="Times New Roman" w:eastAsia="Times New Roman" w:hAnsi="Times New Roman" w:cs="Times New Roman"/>
          <w:color w:val="000000"/>
          <w:sz w:val="24"/>
          <w:szCs w:val="24"/>
        </w:rPr>
        <w:t xml:space="preserve"> ratio (</w:t>
      </w:r>
      <w:r>
        <w:rPr>
          <w:rFonts w:ascii="Times New Roman" w:eastAsia="Times New Roman" w:hAnsi="Times New Roman" w:cs="Times New Roman"/>
          <w:i/>
          <w:color w:val="000000"/>
          <w:sz w:val="24"/>
          <w:szCs w:val="24"/>
        </w:rPr>
        <w:t>MTB</w:t>
      </w:r>
      <w:r w:rsidRPr="00BE4149">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the market value</w:t>
      </w:r>
      <w:r w:rsidRPr="00BE4149">
        <w:rPr>
          <w:rFonts w:ascii="Times New Roman" w:eastAsia="Times New Roman" w:hAnsi="Times New Roman" w:cs="Times New Roman"/>
          <w:color w:val="000000"/>
          <w:sz w:val="24"/>
          <w:szCs w:val="24"/>
        </w:rPr>
        <w:t xml:space="preserve"> of equity divided by </w:t>
      </w:r>
      <w:r>
        <w:rPr>
          <w:rFonts w:ascii="Times New Roman" w:eastAsia="Times New Roman" w:hAnsi="Times New Roman" w:cs="Times New Roman"/>
          <w:color w:val="000000"/>
          <w:sz w:val="24"/>
          <w:szCs w:val="24"/>
        </w:rPr>
        <w:t xml:space="preserve">the book </w:t>
      </w:r>
      <w:r w:rsidRPr="00BE4149">
        <w:rPr>
          <w:rFonts w:ascii="Times New Roman" w:eastAsia="Times New Roman" w:hAnsi="Times New Roman" w:cs="Times New Roman"/>
          <w:color w:val="000000"/>
          <w:sz w:val="24"/>
          <w:szCs w:val="24"/>
        </w:rPr>
        <w:t xml:space="preserve">value of equity at the </w:t>
      </w:r>
      <w:r>
        <w:rPr>
          <w:rFonts w:ascii="Times New Roman" w:eastAsia="Times New Roman" w:hAnsi="Times New Roman" w:cs="Times New Roman"/>
          <w:color w:val="000000"/>
          <w:sz w:val="24"/>
          <w:szCs w:val="24"/>
        </w:rPr>
        <w:t>beginning</w:t>
      </w:r>
      <w:r w:rsidRPr="00BE4149">
        <w:rPr>
          <w:rFonts w:ascii="Times New Roman" w:eastAsia="Times New Roman" w:hAnsi="Times New Roman" w:cs="Times New Roman"/>
          <w:color w:val="000000"/>
          <w:sz w:val="24"/>
          <w:szCs w:val="24"/>
        </w:rPr>
        <w:t xml:space="preserve"> of the fiscal year. </w:t>
      </w:r>
      <w:r w:rsidRPr="00BE4149">
        <w:rPr>
          <w:rFonts w:ascii="Times New Roman" w:eastAsia="Times New Roman" w:hAnsi="Times New Roman" w:cs="Times New Roman"/>
          <w:color w:val="000000"/>
          <w:sz w:val="24"/>
          <w:szCs w:val="24"/>
        </w:rPr>
        <w:lastRenderedPageBreak/>
        <w:t>Leverage ratio (</w:t>
      </w:r>
      <w:r w:rsidRPr="00B52975">
        <w:rPr>
          <w:rFonts w:ascii="Times New Roman" w:eastAsia="Times New Roman" w:hAnsi="Times New Roman" w:cs="Times New Roman"/>
          <w:i/>
          <w:color w:val="000000"/>
          <w:sz w:val="24"/>
          <w:szCs w:val="24"/>
        </w:rPr>
        <w:t>LEV</w:t>
      </w:r>
      <w:r w:rsidRPr="00BE4149">
        <w:rPr>
          <w:rFonts w:ascii="Times New Roman" w:eastAsia="Times New Roman" w:hAnsi="Times New Roman" w:cs="Times New Roman"/>
          <w:color w:val="000000"/>
          <w:sz w:val="24"/>
          <w:szCs w:val="24"/>
        </w:rPr>
        <w:t xml:space="preserve">) is equal to the book value of debt divided by the book value of </w:t>
      </w:r>
      <w:r>
        <w:rPr>
          <w:rFonts w:ascii="Times New Roman" w:eastAsia="Times New Roman" w:hAnsi="Times New Roman" w:cs="Times New Roman"/>
          <w:color w:val="000000"/>
          <w:sz w:val="24"/>
          <w:szCs w:val="24"/>
        </w:rPr>
        <w:t>total assets</w:t>
      </w:r>
      <w:r w:rsidRPr="00BE4149">
        <w:rPr>
          <w:rFonts w:ascii="Times New Roman" w:eastAsia="Times New Roman" w:hAnsi="Times New Roman" w:cs="Times New Roman"/>
          <w:color w:val="000000"/>
          <w:sz w:val="24"/>
          <w:szCs w:val="24"/>
        </w:rPr>
        <w:t>. Firm age (</w:t>
      </w:r>
      <w:r w:rsidRPr="006C10BA">
        <w:rPr>
          <w:rFonts w:ascii="Times New Roman" w:eastAsia="Times New Roman" w:hAnsi="Times New Roman" w:cs="Times New Roman"/>
          <w:i/>
          <w:color w:val="000000"/>
          <w:sz w:val="24"/>
          <w:szCs w:val="24"/>
        </w:rPr>
        <w:t>FIRMAGE</w:t>
      </w:r>
      <w:r w:rsidRPr="00BE4149">
        <w:rPr>
          <w:rFonts w:ascii="Times New Roman" w:eastAsia="Times New Roman" w:hAnsi="Times New Roman" w:cs="Times New Roman"/>
          <w:color w:val="000000"/>
          <w:sz w:val="24"/>
          <w:szCs w:val="24"/>
        </w:rPr>
        <w:t xml:space="preserve">) is the number of years the firm has been present in </w:t>
      </w:r>
      <w:r>
        <w:rPr>
          <w:rFonts w:ascii="Times New Roman" w:eastAsia="Times New Roman" w:hAnsi="Times New Roman" w:cs="Times New Roman"/>
          <w:color w:val="000000"/>
          <w:sz w:val="24"/>
          <w:szCs w:val="24"/>
        </w:rPr>
        <w:t>CRSP</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Investment cycle (</w:t>
      </w:r>
      <w:r w:rsidRPr="00A47772">
        <w:rPr>
          <w:rFonts w:ascii="Times New Roman" w:eastAsia="Times New Roman" w:hAnsi="Times New Roman" w:cs="Times New Roman"/>
          <w:i/>
          <w:color w:val="000000"/>
          <w:sz w:val="24"/>
          <w:szCs w:val="24"/>
        </w:rPr>
        <w:t>INVCYC</w:t>
      </w:r>
      <w:r>
        <w:rPr>
          <w:rFonts w:ascii="Times New Roman" w:eastAsia="Times New Roman" w:hAnsi="Times New Roman" w:cs="Times New Roman"/>
          <w:color w:val="000000"/>
          <w:sz w:val="24"/>
          <w:szCs w:val="24"/>
        </w:rPr>
        <w:t xml:space="preserve">) is measured as depreciation expense divided by the total assets. </w:t>
      </w:r>
      <w:r w:rsidR="00CC5251">
        <w:rPr>
          <w:rFonts w:ascii="Times New Roman" w:eastAsia="Times New Roman" w:hAnsi="Times New Roman" w:cs="Times New Roman"/>
          <w:color w:val="000000"/>
          <w:sz w:val="24"/>
          <w:szCs w:val="24"/>
        </w:rPr>
        <w:t>We</w:t>
      </w:r>
      <w:r w:rsidR="00B72B43">
        <w:rPr>
          <w:rFonts w:ascii="Times New Roman" w:hAnsi="Times New Roman" w:cs="Times New Roman"/>
          <w:sz w:val="24"/>
        </w:rPr>
        <w:t xml:space="preserve"> </w:t>
      </w:r>
      <w:r>
        <w:rPr>
          <w:rFonts w:ascii="Times New Roman" w:hAnsi="Times New Roman" w:cs="Times New Roman"/>
          <w:sz w:val="24"/>
        </w:rPr>
        <w:t>control for analyst following (</w:t>
      </w:r>
      <w:r w:rsidRPr="007554FC">
        <w:rPr>
          <w:rFonts w:ascii="Times New Roman" w:hAnsi="Times New Roman" w:cs="Times New Roman"/>
          <w:i/>
          <w:sz w:val="24"/>
        </w:rPr>
        <w:t>AFN</w:t>
      </w:r>
      <w:r>
        <w:rPr>
          <w:rFonts w:ascii="Times New Roman" w:hAnsi="Times New Roman" w:cs="Times New Roman"/>
          <w:sz w:val="24"/>
        </w:rPr>
        <w:t xml:space="preserve">) as proxies for firms’ external monitoring </w:t>
      </w:r>
      <w:r>
        <w:rPr>
          <w:rFonts w:ascii="Times New Roman" w:hAnsi="Times New Roman" w:cs="Times New Roman"/>
          <w:sz w:val="24"/>
          <w:szCs w:val="24"/>
        </w:rPr>
        <w:t>(</w:t>
      </w:r>
      <w:r>
        <w:rPr>
          <w:rFonts w:ascii="Times New Roman" w:hAnsi="Times New Roman" w:cs="Times New Roman"/>
          <w:noProof/>
          <w:sz w:val="24"/>
          <w:szCs w:val="24"/>
        </w:rPr>
        <w:t xml:space="preserve">Lang and Lundholm 1996; </w:t>
      </w:r>
      <w:proofErr w:type="spellStart"/>
      <w:r w:rsidRPr="000A696E">
        <w:rPr>
          <w:rFonts w:ascii="Times New Roman" w:eastAsia="Times New Roman" w:hAnsi="Times New Roman" w:cs="Times New Roman"/>
          <w:color w:val="000000"/>
          <w:sz w:val="24"/>
          <w:szCs w:val="24"/>
        </w:rPr>
        <w:t>Ramalingegowda</w:t>
      </w:r>
      <w:proofErr w:type="spellEnd"/>
      <w:r w:rsidRPr="000A696E">
        <w:rPr>
          <w:rFonts w:ascii="Times New Roman" w:eastAsia="Times New Roman" w:hAnsi="Times New Roman" w:cs="Times New Roman"/>
          <w:color w:val="000000"/>
          <w:sz w:val="24"/>
          <w:szCs w:val="24"/>
        </w:rPr>
        <w:t xml:space="preserve"> and Yu 2012</w:t>
      </w:r>
      <w:r>
        <w:rPr>
          <w:rFonts w:ascii="Times New Roman" w:hAnsi="Times New Roman" w:cs="Times New Roman"/>
          <w:sz w:val="24"/>
          <w:szCs w:val="24"/>
        </w:rPr>
        <w:t>).</w:t>
      </w:r>
      <w:r>
        <w:rPr>
          <w:rFonts w:ascii="Times New Roman" w:hAnsi="Times New Roman" w:cs="Times New Roman"/>
          <w:sz w:val="24"/>
        </w:rPr>
        <w:t xml:space="preserve"> </w:t>
      </w:r>
      <w:r w:rsidRPr="00BE4149">
        <w:rPr>
          <w:rFonts w:ascii="Times New Roman" w:eastAsia="Times New Roman" w:hAnsi="Times New Roman" w:cs="Times New Roman"/>
          <w:color w:val="000000"/>
          <w:sz w:val="24"/>
          <w:szCs w:val="24"/>
        </w:rPr>
        <w:t>Litigation risk (</w:t>
      </w:r>
      <w:r w:rsidRPr="00B52975">
        <w:rPr>
          <w:rFonts w:ascii="Times New Roman" w:eastAsia="Times New Roman" w:hAnsi="Times New Roman" w:cs="Times New Roman"/>
          <w:i/>
          <w:color w:val="000000"/>
          <w:sz w:val="24"/>
          <w:szCs w:val="24"/>
        </w:rPr>
        <w:t>LITIG</w:t>
      </w:r>
      <w:r w:rsidRPr="00BE4149">
        <w:rPr>
          <w:rFonts w:ascii="Times New Roman" w:eastAsia="Times New Roman" w:hAnsi="Times New Roman" w:cs="Times New Roman"/>
          <w:color w:val="000000"/>
          <w:sz w:val="24"/>
          <w:szCs w:val="24"/>
        </w:rPr>
        <w:t xml:space="preserve">) is the probability of a securities class action lawsuit estimated based on </w:t>
      </w:r>
      <w:r>
        <w:rPr>
          <w:rFonts w:ascii="Times New Roman" w:eastAsia="Times New Roman" w:hAnsi="Times New Roman" w:cs="Times New Roman"/>
          <w:color w:val="000000"/>
          <w:sz w:val="24"/>
          <w:szCs w:val="24"/>
        </w:rPr>
        <w:t>Kim and Skinner (2012)</w:t>
      </w:r>
      <w:r w:rsidR="008B7CDF">
        <w:rPr>
          <w:rFonts w:ascii="Times New Roman" w:eastAsia="Times New Roman" w:hAnsi="Times New Roman" w:cs="Times New Roman"/>
          <w:color w:val="000000"/>
          <w:sz w:val="24"/>
          <w:szCs w:val="24"/>
        </w:rPr>
        <w:t xml:space="preserve"> recommended model</w:t>
      </w:r>
      <w:r w:rsidR="00626E7F">
        <w:rPr>
          <w:rFonts w:ascii="Times New Roman" w:eastAsia="Times New Roman" w:hAnsi="Times New Roman" w:cs="Times New Roman"/>
          <w:color w:val="000000"/>
          <w:sz w:val="24"/>
          <w:szCs w:val="24"/>
        </w:rPr>
        <w:t xml:space="preserve"> (see e.g., </w:t>
      </w:r>
      <w:proofErr w:type="spellStart"/>
      <w:r w:rsidRPr="0000045E">
        <w:rPr>
          <w:rFonts w:ascii="Times New Roman" w:eastAsia="Times New Roman" w:hAnsi="Times New Roman" w:cs="Times New Roman"/>
          <w:color w:val="000000"/>
          <w:sz w:val="24"/>
          <w:szCs w:val="24"/>
        </w:rPr>
        <w:t>Kross</w:t>
      </w:r>
      <w:proofErr w:type="spellEnd"/>
      <w:r w:rsidRPr="0000045E">
        <w:rPr>
          <w:rFonts w:ascii="Times New Roman" w:eastAsia="Times New Roman" w:hAnsi="Times New Roman" w:cs="Times New Roman"/>
          <w:color w:val="000000"/>
          <w:sz w:val="24"/>
          <w:szCs w:val="24"/>
        </w:rPr>
        <w:t>, Ro, and Suk 2011</w:t>
      </w:r>
      <w:r w:rsidRPr="00BE41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Firms with higher </w:t>
      </w:r>
      <w:r w:rsidR="002F3274">
        <w:rPr>
          <w:rFonts w:ascii="Times New Roman" w:eastAsia="Times New Roman" w:hAnsi="Times New Roman" w:cs="Times New Roman"/>
          <w:i/>
          <w:color w:val="000000"/>
          <w:sz w:val="24"/>
          <w:szCs w:val="24"/>
        </w:rPr>
        <w:t>ex-</w:t>
      </w:r>
      <w:r w:rsidR="002F3274" w:rsidRPr="002F3274">
        <w:rPr>
          <w:rFonts w:ascii="Times New Roman" w:eastAsia="Times New Roman" w:hAnsi="Times New Roman" w:cs="Times New Roman"/>
          <w:i/>
          <w:color w:val="000000"/>
          <w:sz w:val="24"/>
          <w:szCs w:val="24"/>
        </w:rPr>
        <w:t>ante</w:t>
      </w:r>
      <w:r w:rsidR="002F3274">
        <w:rPr>
          <w:rFonts w:ascii="Times New Roman" w:eastAsia="Times New Roman" w:hAnsi="Times New Roman" w:cs="Times New Roman"/>
          <w:color w:val="000000"/>
          <w:sz w:val="24"/>
          <w:szCs w:val="24"/>
        </w:rPr>
        <w:t xml:space="preserve"> litigation risk are associated with higher accounting conservatism (Chung and Wynn 2008; </w:t>
      </w:r>
      <w:proofErr w:type="spellStart"/>
      <w:r w:rsidR="002F3274">
        <w:rPr>
          <w:rFonts w:ascii="Times New Roman" w:eastAsia="Times New Roman" w:hAnsi="Times New Roman" w:cs="Times New Roman"/>
          <w:color w:val="000000"/>
          <w:sz w:val="24"/>
          <w:szCs w:val="24"/>
        </w:rPr>
        <w:t>Ettredge</w:t>
      </w:r>
      <w:proofErr w:type="spellEnd"/>
      <w:r w:rsidR="002F3274">
        <w:rPr>
          <w:rFonts w:ascii="Times New Roman" w:eastAsia="Times New Roman" w:hAnsi="Times New Roman" w:cs="Times New Roman"/>
          <w:color w:val="000000"/>
          <w:sz w:val="24"/>
          <w:szCs w:val="24"/>
        </w:rPr>
        <w:t xml:space="preserve"> et al. 2016; </w:t>
      </w:r>
      <w:proofErr w:type="spellStart"/>
      <w:r w:rsidR="002F3274">
        <w:rPr>
          <w:rFonts w:ascii="Times New Roman" w:eastAsia="Times New Roman" w:hAnsi="Times New Roman" w:cs="Times New Roman"/>
          <w:color w:val="000000"/>
          <w:sz w:val="24"/>
          <w:szCs w:val="24"/>
        </w:rPr>
        <w:t>Basu</w:t>
      </w:r>
      <w:proofErr w:type="spellEnd"/>
      <w:r w:rsidR="002F3274">
        <w:rPr>
          <w:rFonts w:ascii="Times New Roman" w:eastAsia="Times New Roman" w:hAnsi="Times New Roman" w:cs="Times New Roman"/>
          <w:color w:val="000000"/>
          <w:sz w:val="24"/>
          <w:szCs w:val="24"/>
        </w:rPr>
        <w:t xml:space="preserve"> and Liang 2019). </w:t>
      </w:r>
    </w:p>
    <w:p w14:paraId="3B6FB3FF" w14:textId="763CDA20" w:rsidR="009D41C2" w:rsidRDefault="00CC5251"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also </w:t>
      </w:r>
      <w:r w:rsidR="00C24CCA">
        <w:rPr>
          <w:rFonts w:ascii="Times New Roman" w:eastAsia="Times New Roman" w:hAnsi="Times New Roman" w:cs="Times New Roman"/>
          <w:color w:val="000000"/>
          <w:sz w:val="24"/>
          <w:szCs w:val="24"/>
        </w:rPr>
        <w:t xml:space="preserve">include controls for earnings surprise and other characteristics related to the </w:t>
      </w:r>
      <w:r>
        <w:rPr>
          <w:rFonts w:ascii="Times New Roman" w:eastAsia="Times New Roman" w:hAnsi="Times New Roman" w:cs="Times New Roman"/>
          <w:color w:val="000000"/>
          <w:sz w:val="24"/>
          <w:szCs w:val="24"/>
        </w:rPr>
        <w:t xml:space="preserve">disclosures in earnings </w:t>
      </w:r>
      <w:r w:rsidR="00C24CCA">
        <w:rPr>
          <w:rFonts w:ascii="Times New Roman" w:eastAsia="Times New Roman" w:hAnsi="Times New Roman" w:cs="Times New Roman"/>
          <w:color w:val="000000"/>
          <w:sz w:val="24"/>
          <w:szCs w:val="24"/>
        </w:rPr>
        <w:t>conference calls</w:t>
      </w:r>
      <w:r w:rsidR="008B7CDF">
        <w:rPr>
          <w:rFonts w:ascii="Times New Roman" w:eastAsia="Times New Roman" w:hAnsi="Times New Roman" w:cs="Times New Roman"/>
          <w:color w:val="000000"/>
          <w:sz w:val="24"/>
          <w:szCs w:val="24"/>
        </w:rPr>
        <w:t xml:space="preserve"> (</w:t>
      </w:r>
      <w:r w:rsidR="008B7CDF">
        <w:rPr>
          <w:rFonts w:ascii="Times New Roman" w:hAnsi="Times New Roman" w:cs="Times New Roman"/>
          <w:sz w:val="24"/>
          <w:szCs w:val="24"/>
        </w:rPr>
        <w:t xml:space="preserve">Cornell and Landsman 1989; Bowen et al. 2002; </w:t>
      </w:r>
      <w:proofErr w:type="spellStart"/>
      <w:r w:rsidR="008B7CDF">
        <w:rPr>
          <w:rFonts w:ascii="Times New Roman" w:hAnsi="Times New Roman" w:cs="Times New Roman"/>
          <w:sz w:val="24"/>
          <w:szCs w:val="24"/>
        </w:rPr>
        <w:t>Bushee</w:t>
      </w:r>
      <w:proofErr w:type="spellEnd"/>
      <w:r w:rsidR="008B7CDF">
        <w:rPr>
          <w:rFonts w:ascii="Times New Roman" w:hAnsi="Times New Roman" w:cs="Times New Roman"/>
          <w:sz w:val="24"/>
          <w:szCs w:val="24"/>
        </w:rPr>
        <w:t xml:space="preserve">, Core, </w:t>
      </w:r>
      <w:proofErr w:type="spellStart"/>
      <w:r w:rsidR="008B7CDF">
        <w:rPr>
          <w:rFonts w:ascii="Times New Roman" w:hAnsi="Times New Roman" w:cs="Times New Roman"/>
          <w:sz w:val="24"/>
          <w:szCs w:val="24"/>
        </w:rPr>
        <w:t>Guay</w:t>
      </w:r>
      <w:proofErr w:type="spellEnd"/>
      <w:r w:rsidR="008B7CDF">
        <w:rPr>
          <w:rFonts w:ascii="Times New Roman" w:hAnsi="Times New Roman" w:cs="Times New Roman"/>
          <w:sz w:val="24"/>
          <w:szCs w:val="24"/>
        </w:rPr>
        <w:t xml:space="preserve">, and Hamm 2010; </w:t>
      </w:r>
      <w:r w:rsidR="008B7CDF">
        <w:rPr>
          <w:rFonts w:ascii="Times New Roman" w:hAnsi="Times New Roman" w:cs="Times New Roman"/>
          <w:noProof/>
          <w:sz w:val="24"/>
          <w:szCs w:val="24"/>
        </w:rPr>
        <w:t xml:space="preserve">Kross, Ro, and Suk 2011; </w:t>
      </w:r>
      <w:r w:rsidR="008B7CDF">
        <w:rPr>
          <w:rFonts w:ascii="Times New Roman" w:hAnsi="Times New Roman" w:cs="Times New Roman"/>
          <w:sz w:val="24"/>
          <w:szCs w:val="24"/>
        </w:rPr>
        <w:t xml:space="preserve">Matsumoto et al. 2011; </w:t>
      </w:r>
      <w:r w:rsidR="008B7CDF">
        <w:rPr>
          <w:rFonts w:ascii="Times New Roman" w:hAnsi="Times New Roman" w:cs="Times New Roman"/>
          <w:noProof/>
          <w:sz w:val="24"/>
          <w:szCs w:val="24"/>
        </w:rPr>
        <w:t>Kross and Suk 2012</w:t>
      </w:r>
      <w:r w:rsidR="008B7CDF">
        <w:rPr>
          <w:rFonts w:ascii="Times New Roman" w:eastAsia="Times New Roman" w:hAnsi="Times New Roman" w:cs="Times New Roman"/>
          <w:color w:val="000000"/>
          <w:sz w:val="24"/>
          <w:szCs w:val="24"/>
        </w:rPr>
        <w:t>)</w:t>
      </w:r>
      <w:r w:rsidR="00C24CCA">
        <w:rPr>
          <w:rFonts w:ascii="Times New Roman" w:eastAsia="Times New Roman" w:hAnsi="Times New Roman" w:cs="Times New Roman"/>
          <w:color w:val="000000"/>
          <w:sz w:val="24"/>
          <w:szCs w:val="24"/>
        </w:rPr>
        <w:t xml:space="preserve">. Specifically, </w:t>
      </w: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include unexpected earnings surprise, change in EPS from the prior year, the bad news indicator </w:t>
      </w:r>
      <w:r w:rsidR="00C24CCA">
        <w:rPr>
          <w:rFonts w:ascii="Times New Roman" w:hAnsi="Times New Roman" w:cs="Times New Roman"/>
          <w:sz w:val="24"/>
          <w:szCs w:val="24"/>
        </w:rPr>
        <w:t>(</w:t>
      </w:r>
      <w:proofErr w:type="spellStart"/>
      <w:r w:rsidR="00C24CCA">
        <w:rPr>
          <w:rFonts w:ascii="Times New Roman" w:hAnsi="Times New Roman" w:cs="Times New Roman"/>
          <w:noProof/>
          <w:sz w:val="24"/>
          <w:szCs w:val="24"/>
        </w:rPr>
        <w:t>Kross</w:t>
      </w:r>
      <w:proofErr w:type="spellEnd"/>
      <w:r w:rsidR="00C24CCA">
        <w:rPr>
          <w:rFonts w:ascii="Times New Roman" w:hAnsi="Times New Roman" w:cs="Times New Roman"/>
          <w:noProof/>
          <w:sz w:val="24"/>
          <w:szCs w:val="24"/>
        </w:rPr>
        <w:t>, Ro, and Suk 2011; Kross and Suk 2012)</w:t>
      </w:r>
      <w:r w:rsidR="00C24CCA">
        <w:rPr>
          <w:rFonts w:ascii="Times New Roman" w:eastAsia="Times New Roman" w:hAnsi="Times New Roman" w:cs="Times New Roman"/>
          <w:color w:val="000000"/>
          <w:sz w:val="24"/>
          <w:szCs w:val="24"/>
        </w:rPr>
        <w:t>, the fourth quarter indicator</w:t>
      </w:r>
      <w:r w:rsidR="009D41C2">
        <w:rPr>
          <w:rFonts w:ascii="Times New Roman" w:eastAsia="Times New Roman" w:hAnsi="Times New Roman" w:cs="Times New Roman"/>
          <w:color w:val="000000"/>
          <w:sz w:val="24"/>
          <w:szCs w:val="24"/>
        </w:rPr>
        <w:t xml:space="preserve"> </w:t>
      </w:r>
      <w:r w:rsidR="009D41C2">
        <w:rPr>
          <w:rFonts w:ascii="Times New Roman" w:hAnsi="Times New Roman" w:cs="Times New Roman"/>
          <w:sz w:val="24"/>
          <w:szCs w:val="24"/>
        </w:rPr>
        <w:t>(</w:t>
      </w:r>
      <w:proofErr w:type="spellStart"/>
      <w:r w:rsidR="009D41C2">
        <w:rPr>
          <w:rFonts w:ascii="Times New Roman" w:hAnsi="Times New Roman" w:cs="Times New Roman"/>
          <w:noProof/>
          <w:sz w:val="24"/>
          <w:szCs w:val="24"/>
        </w:rPr>
        <w:t>Kross</w:t>
      </w:r>
      <w:proofErr w:type="spellEnd"/>
      <w:r w:rsidR="009D41C2">
        <w:rPr>
          <w:rFonts w:ascii="Times New Roman" w:hAnsi="Times New Roman" w:cs="Times New Roman"/>
          <w:noProof/>
          <w:sz w:val="24"/>
          <w:szCs w:val="24"/>
        </w:rPr>
        <w:t>, Ro, and Suk 2011; Kross and Suk 2012)</w:t>
      </w:r>
      <w:r w:rsidR="00C24CC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the 3-day </w:t>
      </w:r>
      <w:r w:rsidR="000E2DD3">
        <w:rPr>
          <w:rFonts w:ascii="Times New Roman" w:eastAsia="Times New Roman" w:hAnsi="Times New Roman" w:cs="Times New Roman"/>
          <w:color w:val="000000"/>
          <w:sz w:val="24"/>
          <w:szCs w:val="24"/>
        </w:rPr>
        <w:t xml:space="preserve">overall </w:t>
      </w:r>
      <w:r>
        <w:rPr>
          <w:rFonts w:ascii="Times New Roman" w:eastAsia="Times New Roman" w:hAnsi="Times New Roman" w:cs="Times New Roman"/>
          <w:color w:val="000000"/>
          <w:sz w:val="24"/>
          <w:szCs w:val="24"/>
        </w:rPr>
        <w:t xml:space="preserve">market reactions to the </w:t>
      </w:r>
      <w:r w:rsidR="000E2DD3">
        <w:rPr>
          <w:rFonts w:ascii="Times New Roman" w:eastAsia="Times New Roman" w:hAnsi="Times New Roman" w:cs="Times New Roman"/>
          <w:color w:val="000000"/>
          <w:sz w:val="24"/>
          <w:szCs w:val="24"/>
        </w:rPr>
        <w:t xml:space="preserve">conference </w:t>
      </w:r>
      <w:r>
        <w:rPr>
          <w:rFonts w:ascii="Times New Roman" w:eastAsia="Times New Roman" w:hAnsi="Times New Roman" w:cs="Times New Roman"/>
          <w:color w:val="000000"/>
          <w:sz w:val="24"/>
          <w:szCs w:val="24"/>
        </w:rPr>
        <w:t>call</w:t>
      </w:r>
      <w:r w:rsidR="00C24CCA">
        <w:rPr>
          <w:rFonts w:ascii="Times New Roman" w:eastAsia="Times New Roman" w:hAnsi="Times New Roman" w:cs="Times New Roman"/>
          <w:color w:val="000000"/>
          <w:sz w:val="24"/>
          <w:szCs w:val="24"/>
        </w:rPr>
        <w:t xml:space="preserve">. </w:t>
      </w:r>
      <w:r w:rsidR="00C24CCA">
        <w:rPr>
          <w:rFonts w:ascii="Times New Roman" w:hAnsi="Times New Roman" w:cs="Times New Roman"/>
          <w:sz w:val="24"/>
          <w:szCs w:val="24"/>
        </w:rPr>
        <w:t xml:space="preserve">The unexpected earnings surprise </w:t>
      </w:r>
      <w:r w:rsidR="00C24CCA" w:rsidRPr="00947FA2">
        <w:rPr>
          <w:rFonts w:ascii="Times New Roman" w:hAnsi="Times New Roman" w:cs="Times New Roman"/>
          <w:sz w:val="24"/>
          <w:szCs w:val="24"/>
        </w:rPr>
        <w:t>(</w:t>
      </w:r>
      <w:r w:rsidR="00C24CCA">
        <w:rPr>
          <w:rFonts w:ascii="Times New Roman" w:hAnsi="Times New Roman" w:cs="Times New Roman"/>
          <w:i/>
          <w:sz w:val="24"/>
          <w:szCs w:val="24"/>
        </w:rPr>
        <w:t>UE</w:t>
      </w:r>
      <w:r w:rsidR="00C24CCA" w:rsidRPr="00947FA2">
        <w:rPr>
          <w:rFonts w:ascii="Times New Roman" w:hAnsi="Times New Roman" w:cs="Times New Roman"/>
          <w:i/>
          <w:sz w:val="24"/>
          <w:szCs w:val="24"/>
        </w:rPr>
        <w:t>SURP</w:t>
      </w:r>
      <w:r w:rsidR="00C24CCA">
        <w:rPr>
          <w:rFonts w:ascii="Times New Roman" w:hAnsi="Times New Roman" w:cs="Times New Roman"/>
          <w:sz w:val="24"/>
          <w:szCs w:val="24"/>
        </w:rPr>
        <w:t>) measure</w:t>
      </w:r>
      <w:r w:rsidR="00B41DA7">
        <w:rPr>
          <w:rFonts w:ascii="Times New Roman" w:hAnsi="Times New Roman" w:cs="Times New Roman"/>
          <w:sz w:val="24"/>
          <w:szCs w:val="24"/>
        </w:rPr>
        <w:t>s</w:t>
      </w:r>
      <w:r w:rsidR="00C24CCA">
        <w:rPr>
          <w:rFonts w:ascii="Times New Roman" w:hAnsi="Times New Roman" w:cs="Times New Roman"/>
          <w:sz w:val="24"/>
          <w:szCs w:val="24"/>
        </w:rPr>
        <w:t xml:space="preserve"> the earnings news revealed in the earnings announcement</w:t>
      </w:r>
      <w:r w:rsidR="000E2DD3">
        <w:rPr>
          <w:rFonts w:ascii="Times New Roman" w:hAnsi="Times New Roman" w:cs="Times New Roman"/>
          <w:sz w:val="24"/>
          <w:szCs w:val="24"/>
        </w:rPr>
        <w:t>s</w:t>
      </w:r>
      <w:r w:rsidR="00C24CCA">
        <w:rPr>
          <w:rFonts w:ascii="Times New Roman" w:hAnsi="Times New Roman" w:cs="Times New Roman"/>
          <w:sz w:val="24"/>
          <w:szCs w:val="24"/>
        </w:rPr>
        <w:t xml:space="preserve">. </w:t>
      </w:r>
      <w:r w:rsidR="009D41C2">
        <w:rPr>
          <w:rFonts w:ascii="Times New Roman" w:hAnsi="Times New Roman" w:cs="Times New Roman"/>
          <w:sz w:val="24"/>
          <w:szCs w:val="24"/>
        </w:rPr>
        <w:t xml:space="preserve">We </w:t>
      </w:r>
      <w:r w:rsidR="00C24CCA">
        <w:rPr>
          <w:rFonts w:ascii="Times New Roman" w:hAnsi="Times New Roman" w:cs="Times New Roman"/>
          <w:sz w:val="24"/>
          <w:szCs w:val="24"/>
        </w:rPr>
        <w:t xml:space="preserve">define </w:t>
      </w:r>
      <w:r w:rsidR="00C24CCA" w:rsidRPr="00FA3A74">
        <w:rPr>
          <w:rFonts w:ascii="Times New Roman" w:hAnsi="Times New Roman" w:cs="Times New Roman"/>
          <w:i/>
          <w:sz w:val="24"/>
          <w:szCs w:val="24"/>
        </w:rPr>
        <w:t>UESURP</w:t>
      </w:r>
      <w:r w:rsidR="00C24CCA">
        <w:rPr>
          <w:rFonts w:ascii="Times New Roman" w:hAnsi="Times New Roman" w:cs="Times New Roman"/>
          <w:sz w:val="24"/>
          <w:szCs w:val="24"/>
        </w:rPr>
        <w:t xml:space="preserve"> as the difference between </w:t>
      </w:r>
      <w:r w:rsidR="00B41DA7">
        <w:rPr>
          <w:rFonts w:ascii="Times New Roman" w:hAnsi="Times New Roman" w:cs="Times New Roman"/>
          <w:sz w:val="24"/>
          <w:szCs w:val="24"/>
        </w:rPr>
        <w:t xml:space="preserve">the </w:t>
      </w:r>
      <w:r w:rsidR="00C24CCA">
        <w:rPr>
          <w:rFonts w:ascii="Times New Roman" w:hAnsi="Times New Roman" w:cs="Times New Roman"/>
          <w:sz w:val="24"/>
          <w:szCs w:val="24"/>
        </w:rPr>
        <w:t>actual EPS and the most recent median consensus analyst forecast prior to the call, scaled by beginning-of-quarter price (</w:t>
      </w:r>
      <w:proofErr w:type="spellStart"/>
      <w:r w:rsidR="00C24CCA">
        <w:rPr>
          <w:rFonts w:ascii="Times New Roman" w:hAnsi="Times New Roman" w:cs="Times New Roman"/>
          <w:noProof/>
          <w:sz w:val="24"/>
          <w:szCs w:val="24"/>
        </w:rPr>
        <w:t>Kross</w:t>
      </w:r>
      <w:proofErr w:type="spellEnd"/>
      <w:r w:rsidR="00C24CCA">
        <w:rPr>
          <w:rFonts w:ascii="Times New Roman" w:hAnsi="Times New Roman" w:cs="Times New Roman"/>
          <w:noProof/>
          <w:sz w:val="24"/>
          <w:szCs w:val="24"/>
        </w:rPr>
        <w:t>, Ro, and Suk 2011; Kross and Suk 2012). T</w:t>
      </w:r>
      <w:r w:rsidR="00C24CCA">
        <w:rPr>
          <w:rFonts w:ascii="Times New Roman" w:hAnsi="Times New Roman" w:cs="Times New Roman"/>
          <w:sz w:val="24"/>
          <w:szCs w:val="24"/>
        </w:rPr>
        <w:t>he</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lagged quarterly </w:t>
      </w:r>
      <w:r w:rsidR="00C24CCA" w:rsidRPr="00D549D3">
        <w:rPr>
          <w:rFonts w:ascii="Times New Roman" w:hAnsi="Times New Roman" w:cs="Times New Roman"/>
          <w:sz w:val="24"/>
          <w:szCs w:val="24"/>
        </w:rPr>
        <w:t xml:space="preserve">change in </w:t>
      </w:r>
      <w:r w:rsidR="00C24CCA">
        <w:rPr>
          <w:rFonts w:ascii="Times New Roman" w:hAnsi="Times New Roman" w:cs="Times New Roman"/>
          <w:sz w:val="24"/>
          <w:szCs w:val="24"/>
        </w:rPr>
        <w:t>EPS</w:t>
      </w:r>
      <w:r w:rsidR="00C24CCA" w:rsidRPr="00D549D3">
        <w:rPr>
          <w:rFonts w:ascii="Times New Roman" w:hAnsi="Times New Roman" w:cs="Times New Roman"/>
          <w:sz w:val="24"/>
          <w:szCs w:val="24"/>
        </w:rPr>
        <w:t xml:space="preserve"> from </w:t>
      </w:r>
      <w:r w:rsidR="00C24CCA">
        <w:rPr>
          <w:rFonts w:ascii="Times New Roman" w:hAnsi="Times New Roman" w:cs="Times New Roman"/>
          <w:sz w:val="24"/>
          <w:szCs w:val="24"/>
        </w:rPr>
        <w:t xml:space="preserve">the prior </w:t>
      </w:r>
      <w:r w:rsidR="00C24CCA" w:rsidRPr="00D549D3">
        <w:rPr>
          <w:rFonts w:ascii="Times New Roman" w:hAnsi="Times New Roman" w:cs="Times New Roman"/>
          <w:sz w:val="24"/>
          <w:szCs w:val="24"/>
        </w:rPr>
        <w:t>year (∆</w:t>
      </w:r>
      <w:r w:rsidR="00C24CCA" w:rsidRPr="00D549D3">
        <w:rPr>
          <w:rFonts w:ascii="Times New Roman" w:hAnsi="Times New Roman" w:cs="Times New Roman"/>
          <w:i/>
          <w:sz w:val="24"/>
          <w:szCs w:val="24"/>
        </w:rPr>
        <w:t>LEPS</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is the change in earnings per share at the beginning of the quarter </w:t>
      </w:r>
      <w:r w:rsidR="00C24CCA" w:rsidRPr="00B738DA">
        <w:rPr>
          <w:rFonts w:ascii="Times New Roman" w:hAnsi="Times New Roman" w:cs="Times New Roman"/>
          <w:sz w:val="24"/>
          <w:szCs w:val="24"/>
        </w:rPr>
        <w:t xml:space="preserve">(EPSq-1 – </w:t>
      </w:r>
      <w:proofErr w:type="spellStart"/>
      <w:r w:rsidR="00C24CCA" w:rsidRPr="00B738DA">
        <w:rPr>
          <w:rFonts w:ascii="Times New Roman" w:hAnsi="Times New Roman" w:cs="Times New Roman"/>
          <w:sz w:val="24"/>
          <w:szCs w:val="24"/>
        </w:rPr>
        <w:t>EPSq</w:t>
      </w:r>
      <w:proofErr w:type="spellEnd"/>
      <w:r w:rsidR="00C24CCA" w:rsidRPr="00B738DA">
        <w:rPr>
          <w:rFonts w:ascii="Times New Roman" w:hAnsi="Times New Roman" w:cs="Times New Roman"/>
          <w:sz w:val="24"/>
          <w:szCs w:val="24"/>
        </w:rPr>
        <w:t>–5)</w:t>
      </w:r>
      <w:r w:rsidR="00C24CCA">
        <w:rPr>
          <w:rFonts w:ascii="Times New Roman" w:hAnsi="Times New Roman" w:cs="Times New Roman"/>
          <w:sz w:val="24"/>
          <w:szCs w:val="24"/>
        </w:rPr>
        <w:t xml:space="preserve">, scaled by q-5 quarter price. The variable </w:t>
      </w:r>
      <w:r w:rsidR="00C24CCA" w:rsidRPr="00B738DA">
        <w:rPr>
          <w:rFonts w:ascii="Times New Roman" w:hAnsi="Times New Roman" w:cs="Times New Roman"/>
          <w:i/>
          <w:sz w:val="24"/>
          <w:szCs w:val="24"/>
        </w:rPr>
        <w:t>4thQTR</w:t>
      </w:r>
      <w:r w:rsidR="00C24CCA">
        <w:rPr>
          <w:rFonts w:ascii="Times New Roman" w:hAnsi="Times New Roman" w:cs="Times New Roman"/>
          <w:sz w:val="24"/>
          <w:szCs w:val="24"/>
        </w:rPr>
        <w:t xml:space="preserve"> is an indicator variable that equals one if the earnings announcement is for the fourth quarter and zero otherwise. </w:t>
      </w:r>
      <w:r w:rsidR="00A43F99">
        <w:rPr>
          <w:rFonts w:ascii="Times New Roman" w:hAnsi="Times New Roman" w:cs="Times New Roman"/>
          <w:sz w:val="24"/>
          <w:szCs w:val="24"/>
        </w:rPr>
        <w:t xml:space="preserve">We expect that </w:t>
      </w:r>
      <w:r w:rsidR="00CF58F5">
        <w:rPr>
          <w:rFonts w:ascii="Times New Roman" w:hAnsi="Times New Roman" w:cs="Times New Roman"/>
          <w:sz w:val="24"/>
          <w:szCs w:val="24"/>
        </w:rPr>
        <w:t xml:space="preserve">the </w:t>
      </w:r>
      <w:r w:rsidR="00A43F99">
        <w:rPr>
          <w:rFonts w:ascii="Times New Roman" w:hAnsi="Times New Roman" w:cs="Times New Roman"/>
          <w:sz w:val="24"/>
          <w:szCs w:val="24"/>
        </w:rPr>
        <w:t xml:space="preserve">bid-ask spread to be smaller for the fourth quarter of a fiscal year, because Cornell and Landsman (1989) show that managers provide more information to analysts and </w:t>
      </w:r>
      <w:r w:rsidR="00CF58F5">
        <w:rPr>
          <w:rFonts w:ascii="Times New Roman" w:hAnsi="Times New Roman" w:cs="Times New Roman"/>
          <w:sz w:val="24"/>
          <w:szCs w:val="24"/>
        </w:rPr>
        <w:t xml:space="preserve">investors in the </w:t>
      </w:r>
      <w:r w:rsidR="00CF58F5">
        <w:rPr>
          <w:rFonts w:ascii="Times New Roman" w:hAnsi="Times New Roman" w:cs="Times New Roman"/>
          <w:sz w:val="24"/>
          <w:szCs w:val="24"/>
        </w:rPr>
        <w:lastRenderedPageBreak/>
        <w:t>fourth quarter</w:t>
      </w:r>
      <w:r w:rsidR="00A43F99">
        <w:rPr>
          <w:rFonts w:ascii="Times New Roman" w:hAnsi="Times New Roman" w:cs="Times New Roman"/>
          <w:sz w:val="24"/>
          <w:szCs w:val="24"/>
        </w:rPr>
        <w:t xml:space="preserve"> than during interim quarters. </w:t>
      </w:r>
      <w:r w:rsidR="009D41C2">
        <w:rPr>
          <w:rFonts w:ascii="Times New Roman" w:hAnsi="Times New Roman" w:cs="Times New Roman"/>
          <w:sz w:val="24"/>
        </w:rPr>
        <w:t>T</w:t>
      </w:r>
      <w:r w:rsidR="009D41C2">
        <w:rPr>
          <w:rFonts w:ascii="Times New Roman" w:hAnsi="Times New Roman" w:cs="Times New Roman"/>
          <w:sz w:val="24"/>
          <w:szCs w:val="24"/>
        </w:rPr>
        <w:t>he stock return reaction</w:t>
      </w:r>
      <w:r w:rsidR="000E2DD3">
        <w:rPr>
          <w:rFonts w:ascii="Times New Roman" w:hAnsi="Times New Roman" w:cs="Times New Roman"/>
          <w:sz w:val="24"/>
          <w:szCs w:val="24"/>
        </w:rPr>
        <w:t xml:space="preserve"> (</w:t>
      </w:r>
      <w:r w:rsidR="000E2DD3" w:rsidRPr="00E4265D">
        <w:rPr>
          <w:rFonts w:ascii="Times New Roman" w:hAnsi="Times New Roman" w:cs="Times New Roman"/>
          <w:i/>
          <w:sz w:val="24"/>
          <w:szCs w:val="24"/>
        </w:rPr>
        <w:t>CAR</w:t>
      </w:r>
      <w:r w:rsidR="000E2DD3" w:rsidRPr="00CD7E65">
        <w:rPr>
          <w:rFonts w:ascii="Times New Roman" w:hAnsi="Times New Roman" w:cs="Times New Roman"/>
          <w:sz w:val="24"/>
          <w:szCs w:val="24"/>
        </w:rPr>
        <w:t>)</w:t>
      </w:r>
      <w:r w:rsidR="009D41C2">
        <w:rPr>
          <w:rFonts w:ascii="Times New Roman" w:hAnsi="Times New Roman" w:cs="Times New Roman"/>
          <w:sz w:val="24"/>
          <w:szCs w:val="24"/>
        </w:rPr>
        <w:t xml:space="preserve"> to the conference call is the cumulative abnormal return for the three-day window </w:t>
      </w:r>
      <w:r w:rsidR="000E2DD3">
        <w:rPr>
          <w:rFonts w:ascii="Times New Roman" w:hAnsi="Times New Roman" w:cs="Times New Roman"/>
          <w:sz w:val="24"/>
          <w:szCs w:val="24"/>
        </w:rPr>
        <w:t>[</w:t>
      </w:r>
      <w:r w:rsidR="009D41C2" w:rsidRPr="00AE56E5">
        <w:rPr>
          <w:rFonts w:ascii="Times New Roman" w:hAnsi="Times New Roman" w:cs="Times New Roman"/>
          <w:sz w:val="24"/>
          <w:szCs w:val="24"/>
        </w:rPr>
        <w:t>-1, 1</w:t>
      </w:r>
      <w:r w:rsidR="000E2DD3">
        <w:rPr>
          <w:rFonts w:ascii="Times New Roman" w:hAnsi="Times New Roman" w:cs="Times New Roman"/>
          <w:sz w:val="24"/>
          <w:szCs w:val="24"/>
        </w:rPr>
        <w:t>]</w:t>
      </w:r>
      <w:r w:rsidR="009D41C2" w:rsidRPr="00AE56E5">
        <w:rPr>
          <w:rFonts w:ascii="Times New Roman" w:hAnsi="Times New Roman" w:cs="Times New Roman"/>
          <w:sz w:val="24"/>
          <w:szCs w:val="24"/>
        </w:rPr>
        <w:t xml:space="preserve"> </w:t>
      </w:r>
      <w:r w:rsidR="000E2DD3">
        <w:rPr>
          <w:rFonts w:ascii="Times New Roman" w:hAnsi="Times New Roman" w:cs="Times New Roman"/>
          <w:sz w:val="24"/>
          <w:szCs w:val="24"/>
        </w:rPr>
        <w:t xml:space="preserve">surrounding </w:t>
      </w:r>
      <w:r w:rsidR="009D41C2">
        <w:rPr>
          <w:rFonts w:ascii="Times New Roman" w:hAnsi="Times New Roman" w:cs="Times New Roman"/>
          <w:sz w:val="24"/>
          <w:szCs w:val="24"/>
        </w:rPr>
        <w:t>the conference call</w:t>
      </w:r>
      <w:r w:rsidR="00BA4A6F">
        <w:rPr>
          <w:rFonts w:ascii="Times New Roman" w:hAnsi="Times New Roman" w:cs="Times New Roman"/>
          <w:sz w:val="24"/>
          <w:szCs w:val="24"/>
        </w:rPr>
        <w:t xml:space="preserve">, capturing the overall extend how the conference calls are “newsworthy” to the market (Bowen et al. 2002; </w:t>
      </w:r>
      <w:proofErr w:type="spellStart"/>
      <w:r w:rsidR="00BA4A6F">
        <w:rPr>
          <w:rFonts w:ascii="Times New Roman" w:hAnsi="Times New Roman" w:cs="Times New Roman"/>
          <w:sz w:val="24"/>
          <w:szCs w:val="24"/>
        </w:rPr>
        <w:t>Bushee</w:t>
      </w:r>
      <w:proofErr w:type="spellEnd"/>
      <w:r w:rsidR="00BA4A6F">
        <w:rPr>
          <w:rFonts w:ascii="Times New Roman" w:hAnsi="Times New Roman" w:cs="Times New Roman"/>
          <w:sz w:val="24"/>
          <w:szCs w:val="24"/>
        </w:rPr>
        <w:t xml:space="preserve">, Core, </w:t>
      </w:r>
      <w:proofErr w:type="spellStart"/>
      <w:r w:rsidR="00BA4A6F">
        <w:rPr>
          <w:rFonts w:ascii="Times New Roman" w:hAnsi="Times New Roman" w:cs="Times New Roman"/>
          <w:sz w:val="24"/>
          <w:szCs w:val="24"/>
        </w:rPr>
        <w:t>Guay</w:t>
      </w:r>
      <w:proofErr w:type="spellEnd"/>
      <w:r w:rsidR="00BA4A6F">
        <w:rPr>
          <w:rFonts w:ascii="Times New Roman" w:hAnsi="Times New Roman" w:cs="Times New Roman"/>
          <w:sz w:val="24"/>
          <w:szCs w:val="24"/>
        </w:rPr>
        <w:t>, and Hamm 2010;</w:t>
      </w:r>
      <w:r w:rsidR="00CF58F5">
        <w:rPr>
          <w:rFonts w:ascii="Times New Roman" w:hAnsi="Times New Roman" w:cs="Times New Roman"/>
          <w:sz w:val="24"/>
          <w:szCs w:val="24"/>
        </w:rPr>
        <w:t xml:space="preserve"> Matsumoto et al. 2011</w:t>
      </w:r>
      <w:r w:rsidR="00BA4A6F">
        <w:rPr>
          <w:rFonts w:ascii="Times New Roman" w:hAnsi="Times New Roman" w:cs="Times New Roman"/>
          <w:sz w:val="24"/>
          <w:szCs w:val="24"/>
        </w:rPr>
        <w:t>).</w:t>
      </w:r>
    </w:p>
    <w:p w14:paraId="2CB02EDA" w14:textId="36203F0F"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hAnsi="Times New Roman" w:cs="Times New Roman"/>
          <w:sz w:val="24"/>
        </w:rPr>
        <w:t xml:space="preserve">Finally, </w:t>
      </w:r>
      <w:r w:rsidR="009D41C2">
        <w:rPr>
          <w:rFonts w:ascii="Times New Roman" w:hAnsi="Times New Roman" w:cs="Times New Roman"/>
          <w:sz w:val="24"/>
        </w:rPr>
        <w:t xml:space="preserve">we </w:t>
      </w:r>
      <w:r>
        <w:rPr>
          <w:rFonts w:ascii="Times New Roman" w:hAnsi="Times New Roman" w:cs="Times New Roman"/>
          <w:sz w:val="24"/>
        </w:rPr>
        <w:t xml:space="preserve">include controls for other textual attributes </w:t>
      </w:r>
      <w:r w:rsidR="009D41C2">
        <w:rPr>
          <w:rFonts w:ascii="Times New Roman" w:hAnsi="Times New Roman" w:cs="Times New Roman"/>
          <w:sz w:val="24"/>
        </w:rPr>
        <w:t xml:space="preserve">in the </w:t>
      </w:r>
      <w:r w:rsidR="00CF58F5">
        <w:rPr>
          <w:rFonts w:ascii="Times New Roman" w:hAnsi="Times New Roman" w:cs="Times New Roman"/>
          <w:sz w:val="24"/>
        </w:rPr>
        <w:t xml:space="preserve">conference </w:t>
      </w:r>
      <w:r w:rsidR="009D41C2">
        <w:rPr>
          <w:rFonts w:ascii="Times New Roman" w:hAnsi="Times New Roman" w:cs="Times New Roman"/>
          <w:sz w:val="24"/>
        </w:rPr>
        <w:t>calls</w:t>
      </w:r>
      <w:r w:rsidR="00AF5E56">
        <w:rPr>
          <w:rFonts w:ascii="Times New Roman" w:hAnsi="Times New Roman" w:cs="Times New Roman"/>
          <w:sz w:val="24"/>
        </w:rPr>
        <w:t>, managers’ willingness to guide the market, and analysts’ responsiveness to the calls</w:t>
      </w:r>
      <w:r w:rsidR="00050B82">
        <w:rPr>
          <w:rFonts w:ascii="Times New Roman" w:hAnsi="Times New Roman" w:cs="Times New Roman"/>
          <w:sz w:val="24"/>
        </w:rPr>
        <w:t xml:space="preserve"> (Zhang 2008; Loughran and McDonald 2011; </w:t>
      </w:r>
      <w:r w:rsidR="00050B82">
        <w:rPr>
          <w:rFonts w:ascii="Times New Roman" w:hAnsi="Times New Roman" w:cs="Times New Roman"/>
          <w:noProof/>
          <w:sz w:val="24"/>
        </w:rPr>
        <w:t xml:space="preserve">Billings, Jennings, and Lev 2015; </w:t>
      </w:r>
      <w:proofErr w:type="spellStart"/>
      <w:r w:rsidR="00050B82">
        <w:rPr>
          <w:rFonts w:ascii="Times New Roman" w:hAnsi="Times New Roman" w:cs="Times New Roman"/>
          <w:sz w:val="24"/>
        </w:rPr>
        <w:t>Bushee</w:t>
      </w:r>
      <w:proofErr w:type="spellEnd"/>
      <w:r w:rsidR="00050B82">
        <w:rPr>
          <w:rFonts w:ascii="Times New Roman" w:hAnsi="Times New Roman" w:cs="Times New Roman"/>
          <w:sz w:val="24"/>
        </w:rPr>
        <w:t xml:space="preserve"> and Huang 2019)</w:t>
      </w:r>
      <w:r>
        <w:rPr>
          <w:rFonts w:ascii="Times New Roman" w:hAnsi="Times New Roman" w:cs="Times New Roman"/>
          <w:sz w:val="24"/>
        </w:rPr>
        <w:t xml:space="preserve">. </w:t>
      </w:r>
      <w:r w:rsidR="009D41C2">
        <w:rPr>
          <w:rFonts w:ascii="Times New Roman" w:hAnsi="Times New Roman" w:cs="Times New Roman"/>
          <w:sz w:val="24"/>
        </w:rPr>
        <w:t>Specifically, we</w:t>
      </w:r>
      <w:r>
        <w:rPr>
          <w:rFonts w:ascii="Times New Roman" w:hAnsi="Times New Roman" w:cs="Times New Roman"/>
          <w:sz w:val="24"/>
        </w:rPr>
        <w:t xml:space="preserve"> capture the tone of the call </w:t>
      </w:r>
      <w:r w:rsidR="00CF58F5">
        <w:rPr>
          <w:rFonts w:ascii="Times New Roman" w:hAnsi="Times New Roman" w:cs="Times New Roman"/>
          <w:sz w:val="24"/>
        </w:rPr>
        <w:t>using</w:t>
      </w:r>
      <w:r>
        <w:rPr>
          <w:rFonts w:ascii="Times New Roman" w:hAnsi="Times New Roman" w:cs="Times New Roman"/>
          <w:sz w:val="24"/>
        </w:rPr>
        <w:t xml:space="preserve"> the number of positive and negative words in the presentation and response parts of the call</w:t>
      </w:r>
      <w:r w:rsidR="007D42EB">
        <w:rPr>
          <w:rFonts w:ascii="Times New Roman" w:hAnsi="Times New Roman" w:cs="Times New Roman"/>
          <w:sz w:val="24"/>
        </w:rPr>
        <w:t xml:space="preserve"> </w:t>
      </w:r>
      <w:r>
        <w:rPr>
          <w:rFonts w:ascii="Times New Roman" w:hAnsi="Times New Roman" w:cs="Times New Roman"/>
          <w:sz w:val="24"/>
        </w:rPr>
        <w:t>—</w:t>
      </w:r>
      <w:r w:rsidR="007D42EB">
        <w:rPr>
          <w:rFonts w:ascii="Times New Roman" w:hAnsi="Times New Roman" w:cs="Times New Roman"/>
          <w:sz w:val="24"/>
        </w:rPr>
        <w:t xml:space="preserve"> </w:t>
      </w:r>
      <w:r w:rsidRPr="009E6606">
        <w:rPr>
          <w:rFonts w:ascii="Times New Roman" w:hAnsi="Times New Roman" w:cs="Times New Roman"/>
          <w:i/>
          <w:sz w:val="24"/>
        </w:rPr>
        <w:t>POSTONE(Present)</w:t>
      </w:r>
      <w:r>
        <w:rPr>
          <w:rFonts w:ascii="Times New Roman" w:hAnsi="Times New Roman" w:cs="Times New Roman"/>
          <w:sz w:val="24"/>
        </w:rPr>
        <w:t xml:space="preserve">, </w:t>
      </w:r>
      <w:r w:rsidRPr="009E6606">
        <w:rPr>
          <w:rFonts w:ascii="Times New Roman" w:hAnsi="Times New Roman" w:cs="Times New Roman"/>
          <w:i/>
          <w:sz w:val="24"/>
        </w:rPr>
        <w:t>POSTONE(Response)</w:t>
      </w:r>
      <w:r>
        <w:rPr>
          <w:rFonts w:ascii="Times New Roman" w:hAnsi="Times New Roman" w:cs="Times New Roman"/>
          <w:sz w:val="24"/>
        </w:rPr>
        <w:t xml:space="preserve">, </w:t>
      </w:r>
      <w:r w:rsidRPr="009E6606">
        <w:rPr>
          <w:rFonts w:ascii="Times New Roman" w:hAnsi="Times New Roman" w:cs="Times New Roman"/>
          <w:i/>
          <w:sz w:val="24"/>
        </w:rPr>
        <w:t>NEGTONE(Present)</w:t>
      </w:r>
      <w:r w:rsidR="00CF58F5">
        <w:rPr>
          <w:rFonts w:ascii="Times New Roman" w:hAnsi="Times New Roman" w:cs="Times New Roman"/>
          <w:sz w:val="24"/>
        </w:rPr>
        <w:t xml:space="preserve">, </w:t>
      </w:r>
      <w:r w:rsidR="00050B82">
        <w:rPr>
          <w:rFonts w:ascii="Times New Roman" w:hAnsi="Times New Roman" w:cs="Times New Roman"/>
          <w:sz w:val="24"/>
        </w:rPr>
        <w:t xml:space="preserve">and </w:t>
      </w:r>
      <w:r w:rsidRPr="009E6606">
        <w:rPr>
          <w:rFonts w:ascii="Times New Roman" w:hAnsi="Times New Roman" w:cs="Times New Roman"/>
          <w:i/>
          <w:sz w:val="24"/>
        </w:rPr>
        <w:t>NEGTONE(Response)</w:t>
      </w:r>
      <w:r w:rsidR="00CF58F5">
        <w:rPr>
          <w:rFonts w:ascii="Times New Roman" w:hAnsi="Times New Roman" w:cs="Times New Roman"/>
          <w:sz w:val="24"/>
        </w:rPr>
        <w:t xml:space="preserve">, following </w:t>
      </w:r>
      <w:r>
        <w:rPr>
          <w:rFonts w:ascii="Times New Roman" w:hAnsi="Times New Roman" w:cs="Times New Roman"/>
          <w:sz w:val="24"/>
        </w:rPr>
        <w:t xml:space="preserve">Loughran and McDonald (2011). </w:t>
      </w:r>
      <w:r w:rsidR="00AF5E56">
        <w:rPr>
          <w:rFonts w:ascii="Times New Roman" w:hAnsi="Times New Roman" w:cs="Times New Roman"/>
          <w:sz w:val="24"/>
        </w:rPr>
        <w:t>We</w:t>
      </w:r>
      <w:r>
        <w:rPr>
          <w:rFonts w:ascii="Times New Roman" w:hAnsi="Times New Roman" w:cs="Times New Roman"/>
          <w:sz w:val="24"/>
        </w:rPr>
        <w:t xml:space="preserve"> include</w:t>
      </w:r>
      <w:r w:rsidRPr="00AA52F8">
        <w:rPr>
          <w:rFonts w:ascii="Times New Roman" w:hAnsi="Times New Roman" w:cs="Times New Roman"/>
          <w:sz w:val="24"/>
        </w:rPr>
        <w:t xml:space="preserve"> </w:t>
      </w:r>
      <w:r>
        <w:rPr>
          <w:rFonts w:ascii="Times New Roman" w:hAnsi="Times New Roman" w:cs="Times New Roman"/>
          <w:sz w:val="24"/>
        </w:rPr>
        <w:t>a</w:t>
      </w:r>
      <w:r w:rsidRPr="009E6606">
        <w:rPr>
          <w:rFonts w:ascii="Times New Roman" w:hAnsi="Times New Roman" w:cs="Times New Roman"/>
          <w:sz w:val="24"/>
        </w:rPr>
        <w:t xml:space="preserve">n indicator variable that equals </w:t>
      </w:r>
      <w:r>
        <w:rPr>
          <w:rFonts w:ascii="Times New Roman" w:hAnsi="Times New Roman" w:cs="Times New Roman"/>
          <w:sz w:val="24"/>
        </w:rPr>
        <w:t>one if</w:t>
      </w:r>
      <w:r w:rsidRPr="009E6606">
        <w:rPr>
          <w:rFonts w:ascii="Times New Roman" w:hAnsi="Times New Roman" w:cs="Times New Roman"/>
          <w:sz w:val="24"/>
        </w:rPr>
        <w:t xml:space="preserve"> </w:t>
      </w:r>
      <w:r>
        <w:rPr>
          <w:rFonts w:ascii="Times New Roman" w:hAnsi="Times New Roman" w:cs="Times New Roman"/>
          <w:sz w:val="24"/>
        </w:rPr>
        <w:t xml:space="preserve">management </w:t>
      </w:r>
      <w:r w:rsidRPr="009E6606">
        <w:rPr>
          <w:rFonts w:ascii="Times New Roman" w:hAnsi="Times New Roman" w:cs="Times New Roman"/>
          <w:sz w:val="24"/>
        </w:rPr>
        <w:t xml:space="preserve">guidance </w:t>
      </w:r>
      <w:r>
        <w:rPr>
          <w:rFonts w:ascii="Times New Roman" w:hAnsi="Times New Roman" w:cs="Times New Roman"/>
          <w:sz w:val="24"/>
        </w:rPr>
        <w:t>(</w:t>
      </w:r>
      <w:r w:rsidRPr="00AA52F8">
        <w:rPr>
          <w:rFonts w:ascii="Times New Roman" w:hAnsi="Times New Roman" w:cs="Times New Roman"/>
          <w:i/>
          <w:sz w:val="24"/>
        </w:rPr>
        <w:t>GUIDANCE</w:t>
      </w:r>
      <w:r>
        <w:rPr>
          <w:rFonts w:ascii="Times New Roman" w:hAnsi="Times New Roman" w:cs="Times New Roman"/>
          <w:sz w:val="24"/>
        </w:rPr>
        <w:t>)</w:t>
      </w:r>
      <w:r w:rsidRPr="009E6606">
        <w:rPr>
          <w:rFonts w:ascii="Times New Roman" w:hAnsi="Times New Roman" w:cs="Times New Roman"/>
          <w:sz w:val="24"/>
        </w:rPr>
        <w:t xml:space="preserve"> is provided on the same day as the conference call</w:t>
      </w:r>
      <w:r w:rsidR="00AF5E56">
        <w:rPr>
          <w:rFonts w:ascii="Times New Roman" w:hAnsi="Times New Roman" w:cs="Times New Roman"/>
          <w:sz w:val="24"/>
        </w:rPr>
        <w:t xml:space="preserve"> following </w:t>
      </w:r>
      <w:proofErr w:type="spellStart"/>
      <w:r w:rsidR="00AF5E56">
        <w:rPr>
          <w:rFonts w:ascii="Times New Roman" w:hAnsi="Times New Roman" w:cs="Times New Roman"/>
          <w:sz w:val="24"/>
        </w:rPr>
        <w:t>Bushee</w:t>
      </w:r>
      <w:proofErr w:type="spellEnd"/>
      <w:r w:rsidR="00AF5E56">
        <w:rPr>
          <w:rFonts w:ascii="Times New Roman" w:hAnsi="Times New Roman" w:cs="Times New Roman"/>
          <w:sz w:val="24"/>
        </w:rPr>
        <w:t xml:space="preserve"> and Huang (2019)</w:t>
      </w:r>
      <w:r w:rsidR="00CF58F5">
        <w:rPr>
          <w:rFonts w:ascii="Times New Roman" w:hAnsi="Times New Roman" w:cs="Times New Roman"/>
          <w:sz w:val="24"/>
        </w:rPr>
        <w:t xml:space="preserve">. This is because </w:t>
      </w:r>
      <w:r>
        <w:rPr>
          <w:rFonts w:ascii="Times New Roman" w:hAnsi="Times New Roman" w:cs="Times New Roman"/>
          <w:noProof/>
          <w:sz w:val="24"/>
        </w:rPr>
        <w:t>Billings, Jennings, and Lev (2015)</w:t>
      </w:r>
      <w:r>
        <w:rPr>
          <w:rFonts w:ascii="Times New Roman" w:hAnsi="Times New Roman" w:cs="Times New Roman"/>
          <w:sz w:val="24"/>
        </w:rPr>
        <w:t xml:space="preserve"> report that over 80% of management forecasts are bundled with the earnings announc</w:t>
      </w:r>
      <w:r w:rsidR="00AF5E56">
        <w:rPr>
          <w:rFonts w:ascii="Times New Roman" w:hAnsi="Times New Roman" w:cs="Times New Roman"/>
          <w:sz w:val="24"/>
        </w:rPr>
        <w:t>ement</w:t>
      </w:r>
      <w:r w:rsidRPr="00BD5DC2">
        <w:rPr>
          <w:rFonts w:ascii="Times New Roman" w:hAnsi="Times New Roman" w:cs="Times New Roman"/>
          <w:sz w:val="24"/>
        </w:rPr>
        <w:t xml:space="preserve">. </w:t>
      </w:r>
      <w:r w:rsidR="00AF5E56">
        <w:rPr>
          <w:rFonts w:ascii="Times New Roman" w:hAnsi="Times New Roman" w:cs="Times New Roman"/>
          <w:sz w:val="24"/>
        </w:rPr>
        <w:t>Further, we include an indicator variable that equals one if analysts are responsive (</w:t>
      </w:r>
      <w:r w:rsidR="00AF5E56" w:rsidRPr="00AF5E56">
        <w:rPr>
          <w:rFonts w:ascii="Times New Roman" w:hAnsi="Times New Roman" w:cs="Times New Roman"/>
          <w:i/>
          <w:sz w:val="24"/>
        </w:rPr>
        <w:t>RESPONSIVE</w:t>
      </w:r>
      <w:r w:rsidR="00AF5E56">
        <w:rPr>
          <w:rFonts w:ascii="Times New Roman" w:hAnsi="Times New Roman" w:cs="Times New Roman"/>
          <w:sz w:val="24"/>
        </w:rPr>
        <w:t xml:space="preserve">) to the information disclosed in the conference calls (Zhang 2008). </w:t>
      </w:r>
      <w:r w:rsidRPr="00BD5DC2">
        <w:rPr>
          <w:rFonts w:ascii="Times New Roman" w:hAnsi="Times New Roman" w:cs="Times New Roman"/>
          <w:sz w:val="24"/>
        </w:rPr>
        <w:t>To control for potential unobservable omitted variables related to firm fixed characteristics</w:t>
      </w:r>
      <w:r>
        <w:rPr>
          <w:rFonts w:ascii="Times New Roman" w:hAnsi="Times New Roman" w:cs="Times New Roman"/>
          <w:sz w:val="24"/>
        </w:rPr>
        <w:t>, a</w:t>
      </w:r>
      <w:r w:rsidRPr="00BD5DC2">
        <w:rPr>
          <w:rFonts w:ascii="Times New Roman" w:hAnsi="Times New Roman" w:cs="Times New Roman"/>
          <w:sz w:val="24"/>
        </w:rPr>
        <w:t>ll regressions</w:t>
      </w:r>
      <w:r>
        <w:rPr>
          <w:rFonts w:ascii="Times New Roman" w:eastAsia="Times New Roman" w:hAnsi="Times New Roman" w:cs="Times New Roman"/>
          <w:color w:val="000000"/>
          <w:sz w:val="24"/>
          <w:szCs w:val="24"/>
        </w:rPr>
        <w:t xml:space="preserve"> are estimated with firm fixed effects. </w:t>
      </w:r>
      <w:r>
        <w:rPr>
          <w:rFonts w:ascii="Times New Roman" w:hAnsi="Times New Roman" w:cs="Times New Roman"/>
          <w:sz w:val="24"/>
          <w:szCs w:val="24"/>
        </w:rPr>
        <w:t>T</w:t>
      </w:r>
      <w:r w:rsidRPr="00A57B68">
        <w:rPr>
          <w:rFonts w:ascii="Times New Roman" w:hAnsi="Times New Roman" w:cs="Times New Roman"/>
          <w:sz w:val="24"/>
          <w:szCs w:val="24"/>
        </w:rPr>
        <w:t>o</w:t>
      </w:r>
      <w:r>
        <w:rPr>
          <w:rFonts w:ascii="Times New Roman" w:hAnsi="Times New Roman" w:cs="Times New Roman"/>
          <w:sz w:val="24"/>
          <w:szCs w:val="24"/>
        </w:rPr>
        <w:t xml:space="preserve"> remove the effects of outliers, a</w:t>
      </w:r>
      <w:r>
        <w:rPr>
          <w:rFonts w:ascii="Times New Roman" w:eastAsia="Times New Roman" w:hAnsi="Times New Roman" w:cs="Times New Roman"/>
          <w:color w:val="000000"/>
          <w:sz w:val="24"/>
          <w:szCs w:val="24"/>
        </w:rPr>
        <w:t xml:space="preserve">ll </w:t>
      </w:r>
      <w:r w:rsidRPr="00BE4149">
        <w:rPr>
          <w:rFonts w:ascii="Times New Roman" w:eastAsia="Times New Roman" w:hAnsi="Times New Roman" w:cs="Times New Roman"/>
          <w:color w:val="000000"/>
          <w:sz w:val="24"/>
          <w:szCs w:val="24"/>
        </w:rPr>
        <w:t xml:space="preserve">continuous variables are </w:t>
      </w:r>
      <w:proofErr w:type="spellStart"/>
      <w:r w:rsidRPr="00BE4149">
        <w:rPr>
          <w:rFonts w:ascii="Times New Roman" w:eastAsia="Times New Roman" w:hAnsi="Times New Roman" w:cs="Times New Roman"/>
          <w:color w:val="000000"/>
          <w:sz w:val="24"/>
          <w:szCs w:val="24"/>
        </w:rPr>
        <w:t>winsorized</w:t>
      </w:r>
      <w:proofErr w:type="spellEnd"/>
      <w:r w:rsidRPr="00BE4149">
        <w:rPr>
          <w:rFonts w:ascii="Times New Roman" w:eastAsia="Times New Roman" w:hAnsi="Times New Roman" w:cs="Times New Roman"/>
          <w:color w:val="000000"/>
          <w:sz w:val="24"/>
          <w:szCs w:val="24"/>
        </w:rPr>
        <w:t xml:space="preserve"> </w:t>
      </w:r>
      <w:r w:rsidRPr="00A57B68">
        <w:rPr>
          <w:rFonts w:ascii="Times New Roman" w:hAnsi="Times New Roman" w:cs="Times New Roman"/>
          <w:sz w:val="24"/>
          <w:szCs w:val="24"/>
        </w:rPr>
        <w:t>at</w:t>
      </w:r>
      <w:r>
        <w:rPr>
          <w:rFonts w:ascii="Times New Roman" w:hAnsi="Times New Roman" w:cs="Times New Roman"/>
          <w:sz w:val="24"/>
          <w:szCs w:val="24"/>
        </w:rPr>
        <w:t xml:space="preserve"> </w:t>
      </w:r>
      <w:r w:rsidRPr="00A57B68">
        <w:rPr>
          <w:rFonts w:ascii="Times New Roman" w:hAnsi="Times New Roman" w:cs="Times New Roman"/>
          <w:sz w:val="24"/>
          <w:szCs w:val="24"/>
        </w:rPr>
        <w:t>1% in either tail of the distribution</w:t>
      </w:r>
      <w:r>
        <w:rPr>
          <w:rFonts w:ascii="Times New Roman" w:hAnsi="Times New Roman" w:cs="Times New Roman"/>
          <w:sz w:val="24"/>
          <w:szCs w:val="24"/>
        </w:rPr>
        <w:t>.</w:t>
      </w:r>
      <w:r w:rsidRPr="00BE4149">
        <w:rPr>
          <w:rFonts w:ascii="Times New Roman" w:eastAsia="Times New Roman" w:hAnsi="Times New Roman" w:cs="Times New Roman"/>
          <w:color w:val="000000"/>
          <w:sz w:val="24"/>
          <w:szCs w:val="24"/>
        </w:rPr>
        <w:t xml:space="preserve"> </w:t>
      </w:r>
    </w:p>
    <w:p w14:paraId="4C54993F" w14:textId="44685864" w:rsidR="00C2436D" w:rsidRDefault="009B3CFB" w:rsidP="00C24CCA">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explore the question of whether conservative reporting increases or decreases the forward-looking disclosure in the conference calls</w:t>
      </w:r>
      <w:r w:rsidR="008972C5">
        <w:rPr>
          <w:rFonts w:ascii="Times New Roman" w:eastAsia="Times New Roman" w:hAnsi="Times New Roman" w:cs="Times New Roman"/>
          <w:color w:val="000000"/>
          <w:sz w:val="24"/>
          <w:szCs w:val="24"/>
        </w:rPr>
        <w:t xml:space="preserve"> (H2)</w:t>
      </w:r>
      <w:r>
        <w:rPr>
          <w:rFonts w:ascii="Times New Roman" w:eastAsia="Times New Roman" w:hAnsi="Times New Roman" w:cs="Times New Roman"/>
          <w:color w:val="000000"/>
          <w:sz w:val="24"/>
          <w:szCs w:val="24"/>
        </w:rPr>
        <w:t xml:space="preserve">, we estimate the following regression: </w:t>
      </w:r>
    </w:p>
    <w:p w14:paraId="1587C10A" w14:textId="58848196" w:rsidR="009B3CFB" w:rsidRDefault="009B3CFB" w:rsidP="009B3CFB">
      <w:pPr>
        <w:ind w:left="2250" w:hanging="1530"/>
        <w:contextualSpacing/>
        <w:rPr>
          <w:rFonts w:ascii="Times New Roman" w:eastAsia="SimSun" w:hAnsi="Times New Roman" w:cs="Times New Roman"/>
          <w:sz w:val="24"/>
          <w:szCs w:val="24"/>
          <w:lang w:eastAsia="en-US"/>
        </w:rPr>
      </w:pPr>
      <w:r>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9B3CFB">
        <w:rPr>
          <w:rFonts w:ascii="Times New Roman" w:eastAsia="Times New Roman" w:hAnsi="Times New Roman" w:cs="Times New Roman"/>
          <w:i/>
          <w:color w:val="000000"/>
          <w:sz w:val="24"/>
          <w:szCs w:val="24"/>
        </w:rPr>
        <w:t xml:space="preserve"> </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   </w:t>
      </w:r>
      <w:r w:rsidRPr="009A72C6">
        <w:rPr>
          <w:rFonts w:ascii="Times New Roman" w:eastAsia="SimSun" w:hAnsi="Times New Roman" w:cs="Times New Roman"/>
          <w:sz w:val="24"/>
          <w:szCs w:val="24"/>
          <w:lang w:eastAsia="en-US"/>
        </w:rPr>
        <w:t>(</w:t>
      </w:r>
      <w:proofErr w:type="gramEnd"/>
      <w:r>
        <w:rPr>
          <w:rFonts w:ascii="Times New Roman" w:eastAsia="SimSun" w:hAnsi="Times New Roman" w:cs="Times New Roman"/>
          <w:sz w:val="24"/>
          <w:szCs w:val="24"/>
          <w:lang w:eastAsia="en-US"/>
        </w:rPr>
        <w:t>3</w:t>
      </w:r>
      <w:r w:rsidRPr="009A72C6">
        <w:rPr>
          <w:rFonts w:ascii="Times New Roman" w:eastAsia="SimSun" w:hAnsi="Times New Roman" w:cs="Times New Roman"/>
          <w:sz w:val="24"/>
          <w:szCs w:val="24"/>
          <w:lang w:eastAsia="en-US"/>
        </w:rPr>
        <w:t>)</w:t>
      </w:r>
      <w:r>
        <w:rPr>
          <w:rFonts w:ascii="Times New Roman" w:hAnsi="Times New Roman" w:cs="Times New Roman"/>
          <w:i/>
          <w:sz w:val="24"/>
          <w:szCs w:val="24"/>
        </w:rPr>
        <w:t xml:space="preserve">                       </w:t>
      </w:r>
      <w:r>
        <w:rPr>
          <w:rFonts w:ascii="Times New Roman" w:hAnsi="Times New Roman" w:cs="Times New Roman"/>
          <w:i/>
          <w:sz w:val="24"/>
          <w:szCs w:val="24"/>
        </w:rPr>
        <w:tab/>
        <w:t xml:space="preserve"> </w:t>
      </w:r>
    </w:p>
    <w:p w14:paraId="72C2CA06" w14:textId="08ABD6A9" w:rsidR="00021E36" w:rsidRPr="00FB4DFC" w:rsidRDefault="00FB4DFC" w:rsidP="00FB4DFC">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where </w:t>
      </w:r>
      <w:r w:rsidRPr="00FB4DFC">
        <w:rPr>
          <w:rFonts w:ascii="Times New Roman" w:hAnsi="Times New Roman" w:cs="Times New Roman"/>
          <w:i/>
          <w:color w:val="1C1E29"/>
          <w:sz w:val="24"/>
          <w:szCs w:val="24"/>
        </w:rPr>
        <w:t>FWDLOOK</w:t>
      </w:r>
      <w:r>
        <w:rPr>
          <w:rFonts w:ascii="Times New Roman" w:hAnsi="Times New Roman" w:cs="Times New Roman"/>
          <w:color w:val="1C1E29"/>
          <w:sz w:val="24"/>
          <w:szCs w:val="24"/>
        </w:rPr>
        <w:t xml:space="preserve"> represents the forward-looking disclosure </w:t>
      </w:r>
      <w:r w:rsidR="00303E5D" w:rsidRPr="00176626">
        <w:rPr>
          <w:rFonts w:ascii="Times New Roman" w:hAnsi="Times New Roman" w:cs="Times New Roman"/>
          <w:color w:val="1C1E29"/>
          <w:sz w:val="24"/>
          <w:szCs w:val="24"/>
        </w:rPr>
        <w:t xml:space="preserve">(e.g., “company expects” or “firm projects”) </w:t>
      </w:r>
      <w:r>
        <w:rPr>
          <w:rFonts w:ascii="Times New Roman" w:hAnsi="Times New Roman" w:cs="Times New Roman"/>
          <w:color w:val="1C1E29"/>
          <w:sz w:val="24"/>
          <w:szCs w:val="24"/>
        </w:rPr>
        <w:t xml:space="preserve">in the conference calls. We explore how the different types of forward-looking </w:t>
      </w:r>
      <w:r>
        <w:rPr>
          <w:rFonts w:ascii="Times New Roman" w:hAnsi="Times New Roman" w:cs="Times New Roman"/>
          <w:color w:val="1C1E29"/>
          <w:sz w:val="24"/>
          <w:szCs w:val="24"/>
        </w:rPr>
        <w:lastRenderedPageBreak/>
        <w:t xml:space="preserve">disclosure </w:t>
      </w:r>
      <w:r w:rsidR="00293529">
        <w:rPr>
          <w:rFonts w:ascii="Times New Roman" w:hAnsi="Times New Roman" w:cs="Times New Roman"/>
          <w:color w:val="1C1E29"/>
          <w:sz w:val="24"/>
          <w:szCs w:val="24"/>
        </w:rPr>
        <w:t>are</w:t>
      </w:r>
      <w:r>
        <w:rPr>
          <w:rFonts w:ascii="Times New Roman" w:hAnsi="Times New Roman" w:cs="Times New Roman"/>
          <w:color w:val="1C1E29"/>
          <w:sz w:val="24"/>
          <w:szCs w:val="24"/>
        </w:rPr>
        <w:t xml:space="preserve"> related to conservative reporting.  </w:t>
      </w:r>
      <w:r w:rsidR="00262A72">
        <w:rPr>
          <w:rFonts w:ascii="Times New Roman" w:hAnsi="Times New Roman" w:cs="Times New Roman"/>
          <w:color w:val="1C1E29"/>
          <w:sz w:val="24"/>
          <w:szCs w:val="24"/>
        </w:rPr>
        <w:t xml:space="preserve">First, we </w:t>
      </w:r>
      <w:r w:rsidR="00643113">
        <w:rPr>
          <w:rFonts w:ascii="Times New Roman" w:hAnsi="Times New Roman" w:cs="Times New Roman"/>
          <w:color w:val="1C1E29"/>
          <w:sz w:val="24"/>
          <w:szCs w:val="24"/>
        </w:rPr>
        <w:t>classify each forward-looking statement based on the positive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POS_FWLs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or negative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NEG_FWLs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tone of the statements, following </w:t>
      </w:r>
      <w:r w:rsidR="00643113" w:rsidRPr="00176626">
        <w:rPr>
          <w:rFonts w:ascii="Times New Roman" w:hAnsi="Times New Roman" w:cs="Times New Roman"/>
          <w:color w:val="1C1E29"/>
          <w:sz w:val="24"/>
          <w:szCs w:val="24"/>
        </w:rPr>
        <w:t xml:space="preserve">Loughran and McDonald </w:t>
      </w:r>
      <w:r w:rsidR="00643113">
        <w:rPr>
          <w:rFonts w:ascii="Times New Roman" w:hAnsi="Times New Roman" w:cs="Times New Roman"/>
          <w:color w:val="1C1E29"/>
          <w:sz w:val="24"/>
          <w:szCs w:val="24"/>
        </w:rPr>
        <w:t>(</w:t>
      </w:r>
      <w:r w:rsidR="00643113" w:rsidRPr="00176626">
        <w:rPr>
          <w:rFonts w:ascii="Times New Roman" w:hAnsi="Times New Roman" w:cs="Times New Roman"/>
          <w:color w:val="1C1E29"/>
          <w:sz w:val="24"/>
          <w:szCs w:val="24"/>
        </w:rPr>
        <w:t>2011</w:t>
      </w:r>
      <w:r w:rsidR="00643113">
        <w:rPr>
          <w:rFonts w:ascii="Times New Roman" w:hAnsi="Times New Roman" w:cs="Times New Roman"/>
          <w:color w:val="1C1E29"/>
          <w:sz w:val="24"/>
          <w:szCs w:val="24"/>
        </w:rPr>
        <w:t xml:space="preserve">). A forward-looking statement is identified as positive- (negative-) tone if it includes one of the positive- (negative-) tone words in the Loughran and McDonald’s (2011) dictionary. The complete list of forward-looking and each category </w:t>
      </w:r>
      <w:r w:rsidR="00293529">
        <w:rPr>
          <w:rFonts w:ascii="Times New Roman" w:hAnsi="Times New Roman" w:cs="Times New Roman"/>
          <w:color w:val="1C1E29"/>
          <w:sz w:val="24"/>
          <w:szCs w:val="24"/>
        </w:rPr>
        <w:t>is</w:t>
      </w:r>
      <w:r w:rsidR="00643113">
        <w:rPr>
          <w:rFonts w:ascii="Times New Roman" w:hAnsi="Times New Roman" w:cs="Times New Roman"/>
          <w:color w:val="1C1E29"/>
          <w:sz w:val="24"/>
          <w:szCs w:val="24"/>
        </w:rPr>
        <w:t xml:space="preserve"> presented in our Online Appendix. </w:t>
      </w:r>
    </w:p>
    <w:p w14:paraId="2ABDE1CE" w14:textId="28B1F329" w:rsidR="00176626" w:rsidRPr="00643113" w:rsidRDefault="00643113"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t xml:space="preserve">Next, we classify each forward-looking statement as either quantitative </w:t>
      </w:r>
      <w:r w:rsidR="00303E5D">
        <w:rPr>
          <w:rFonts w:ascii="Times New Roman" w:hAnsi="Times New Roman" w:cs="Times New Roman"/>
          <w:color w:val="1C1E29"/>
          <w:sz w:val="24"/>
          <w:szCs w:val="24"/>
        </w:rPr>
        <w:t>(</w:t>
      </w:r>
      <w:r w:rsidR="00303E5D" w:rsidRPr="00303E5D">
        <w:rPr>
          <w:rFonts w:ascii="Times New Roman" w:hAnsi="Times New Roman" w:cs="Times New Roman"/>
          <w:i/>
          <w:color w:val="1C1E29"/>
          <w:sz w:val="24"/>
          <w:szCs w:val="24"/>
        </w:rPr>
        <w:t>QNT_FWLs</w:t>
      </w:r>
      <w:r w:rsidR="00303E5D">
        <w:rPr>
          <w:rFonts w:ascii="Times New Roman" w:hAnsi="Times New Roman" w:cs="Times New Roman"/>
          <w:color w:val="1C1E29"/>
          <w:sz w:val="24"/>
          <w:szCs w:val="24"/>
        </w:rPr>
        <w:t xml:space="preserve">) </w:t>
      </w:r>
      <w:r>
        <w:rPr>
          <w:rFonts w:ascii="Times New Roman" w:hAnsi="Times New Roman" w:cs="Times New Roman"/>
          <w:color w:val="1C1E29"/>
          <w:sz w:val="24"/>
          <w:szCs w:val="24"/>
        </w:rPr>
        <w:t>or non-quantitative</w:t>
      </w:r>
      <w:r w:rsidR="00303E5D">
        <w:rPr>
          <w:rFonts w:ascii="Times New Roman" w:hAnsi="Times New Roman" w:cs="Times New Roman"/>
          <w:color w:val="1C1E29"/>
          <w:sz w:val="24"/>
          <w:szCs w:val="24"/>
        </w:rPr>
        <w:t xml:space="preserve"> (</w:t>
      </w:r>
      <w:r w:rsidR="00303E5D" w:rsidRPr="00303E5D">
        <w:rPr>
          <w:rFonts w:ascii="Times New Roman" w:hAnsi="Times New Roman" w:cs="Times New Roman"/>
          <w:i/>
          <w:color w:val="1C1E29"/>
          <w:sz w:val="24"/>
          <w:szCs w:val="24"/>
        </w:rPr>
        <w:t>NQT_FWLs</w:t>
      </w:r>
      <w:r w:rsidR="00303E5D">
        <w:rPr>
          <w:rFonts w:ascii="Times New Roman" w:hAnsi="Times New Roman" w:cs="Times New Roman"/>
          <w:color w:val="1C1E29"/>
          <w:sz w:val="24"/>
          <w:szCs w:val="24"/>
        </w:rPr>
        <w:t>)</w:t>
      </w:r>
      <w:r>
        <w:rPr>
          <w:rFonts w:ascii="Times New Roman" w:hAnsi="Times New Roman" w:cs="Times New Roman"/>
          <w:color w:val="1C1E29"/>
          <w:sz w:val="24"/>
          <w:szCs w:val="24"/>
        </w:rPr>
        <w:t xml:space="preserve">. We follow an approach similar to </w:t>
      </w:r>
      <w:proofErr w:type="spellStart"/>
      <w:r>
        <w:rPr>
          <w:rFonts w:ascii="Times New Roman" w:hAnsi="Times New Roman" w:cs="Times New Roman"/>
          <w:color w:val="1C1E29"/>
          <w:sz w:val="24"/>
          <w:szCs w:val="24"/>
        </w:rPr>
        <w:t>Bozanic</w:t>
      </w:r>
      <w:proofErr w:type="spellEnd"/>
      <w:r>
        <w:rPr>
          <w:rFonts w:ascii="Times New Roman" w:hAnsi="Times New Roman" w:cs="Times New Roman"/>
          <w:color w:val="1C1E29"/>
          <w:sz w:val="24"/>
          <w:szCs w:val="24"/>
        </w:rPr>
        <w:t xml:space="preserve"> et al. (2018) and Huang et al. (2014). A sentence is identified as quantitative if it includes a quantitat</w:t>
      </w:r>
      <w:r w:rsidR="00293529">
        <w:rPr>
          <w:rFonts w:ascii="Times New Roman" w:hAnsi="Times New Roman" w:cs="Times New Roman"/>
          <w:color w:val="1C1E29"/>
          <w:sz w:val="24"/>
          <w:szCs w:val="24"/>
        </w:rPr>
        <w:t>ive</w:t>
      </w:r>
      <w:r>
        <w:rPr>
          <w:rFonts w:ascii="Times New Roman" w:hAnsi="Times New Roman" w:cs="Times New Roman"/>
          <w:color w:val="1C1E29"/>
          <w:sz w:val="24"/>
          <w:szCs w:val="24"/>
        </w:rPr>
        <w:t xml:space="preserve"> term </w:t>
      </w:r>
      <w:r w:rsidR="00303E5D">
        <w:rPr>
          <w:rFonts w:ascii="Times New Roman" w:hAnsi="Times New Roman" w:cs="Times New Roman"/>
          <w:color w:val="1C1E29"/>
          <w:sz w:val="24"/>
          <w:szCs w:val="24"/>
        </w:rPr>
        <w:t xml:space="preserve">such as </w:t>
      </w:r>
      <w:r w:rsidR="00303E5D" w:rsidRPr="00176626">
        <w:rPr>
          <w:rFonts w:ascii="Times New Roman" w:hAnsi="Times New Roman" w:cs="Times New Roman"/>
          <w:color w:val="1C1E29"/>
          <w:sz w:val="24"/>
          <w:szCs w:val="24"/>
        </w:rPr>
        <w:t>“thousand</w:t>
      </w:r>
      <w:r w:rsidR="00303E5D">
        <w:rPr>
          <w:rFonts w:ascii="Times New Roman" w:hAnsi="Times New Roman" w:cs="Times New Roman"/>
          <w:color w:val="1C1E29"/>
          <w:sz w:val="24"/>
          <w:szCs w:val="24"/>
        </w:rPr>
        <w:t>s”, or “millions”, or numbers followed by scale abbreviations such as “5M”, or “10B”. A sentence is also classified as quantitative if it includes a U.S. currency or “$</w:t>
      </w:r>
      <w:proofErr w:type="gramStart"/>
      <w:r w:rsidR="00303E5D">
        <w:rPr>
          <w:rFonts w:ascii="Times New Roman" w:hAnsi="Times New Roman" w:cs="Times New Roman"/>
          <w:color w:val="1C1E29"/>
          <w:sz w:val="24"/>
          <w:szCs w:val="24"/>
        </w:rPr>
        <w:t>”, or</w:t>
      </w:r>
      <w:proofErr w:type="gramEnd"/>
      <w:r w:rsidR="00303E5D">
        <w:rPr>
          <w:rFonts w:ascii="Times New Roman" w:hAnsi="Times New Roman" w:cs="Times New Roman"/>
          <w:color w:val="1C1E29"/>
          <w:sz w:val="24"/>
          <w:szCs w:val="24"/>
        </w:rPr>
        <w:t xml:space="preserve"> use of percentage (or “%”). A forward-looking statement that does not contain at least one of the quantitative terms is classified as a non-quantitative, or qualitative forward-looking statement. </w:t>
      </w:r>
    </w:p>
    <w:p w14:paraId="6342ACB6" w14:textId="1E2BFF56" w:rsidR="00262A72" w:rsidRDefault="00303E5D"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r>
      <w:r w:rsidR="00A943A0">
        <w:rPr>
          <w:rFonts w:ascii="Times New Roman" w:hAnsi="Times New Roman" w:cs="Times New Roman"/>
          <w:color w:val="1C1E29"/>
          <w:sz w:val="24"/>
          <w:szCs w:val="24"/>
        </w:rPr>
        <w:t>Prior studies find that managers make more non-</w:t>
      </w:r>
      <w:proofErr w:type="gramStart"/>
      <w:r w:rsidR="00A943A0">
        <w:rPr>
          <w:rFonts w:ascii="Times New Roman" w:hAnsi="Times New Roman" w:cs="Times New Roman"/>
          <w:color w:val="1C1E29"/>
          <w:sz w:val="24"/>
          <w:szCs w:val="24"/>
        </w:rPr>
        <w:t>earnings related</w:t>
      </w:r>
      <w:proofErr w:type="gramEnd"/>
      <w:r w:rsidR="00A943A0">
        <w:rPr>
          <w:rFonts w:ascii="Times New Roman" w:hAnsi="Times New Roman" w:cs="Times New Roman"/>
          <w:color w:val="1C1E29"/>
          <w:sz w:val="24"/>
          <w:szCs w:val="24"/>
        </w:rPr>
        <w:t xml:space="preserve"> statements in the earnings releases (e.g. </w:t>
      </w:r>
      <w:proofErr w:type="spellStart"/>
      <w:r w:rsidR="00A943A0">
        <w:rPr>
          <w:rFonts w:ascii="Times New Roman" w:hAnsi="Times New Roman" w:cs="Times New Roman"/>
          <w:color w:val="1C1E29"/>
          <w:sz w:val="24"/>
          <w:szCs w:val="24"/>
        </w:rPr>
        <w:t>Bozanic</w:t>
      </w:r>
      <w:proofErr w:type="spellEnd"/>
      <w:r w:rsidR="00A943A0">
        <w:rPr>
          <w:rFonts w:ascii="Times New Roman" w:hAnsi="Times New Roman" w:cs="Times New Roman"/>
          <w:color w:val="1C1E29"/>
          <w:sz w:val="24"/>
          <w:szCs w:val="24"/>
        </w:rPr>
        <w:t xml:space="preserve"> et al. 2018). Conference calls are typically held immediately (within a few hours) after the earnings release is issued. Earnings release</w:t>
      </w:r>
      <w:r w:rsidR="00293529">
        <w:rPr>
          <w:rFonts w:ascii="Times New Roman" w:hAnsi="Times New Roman" w:cs="Times New Roman"/>
          <w:color w:val="1C1E29"/>
          <w:sz w:val="24"/>
          <w:szCs w:val="24"/>
        </w:rPr>
        <w:t>s</w:t>
      </w:r>
      <w:r w:rsidR="00A943A0">
        <w:rPr>
          <w:rFonts w:ascii="Times New Roman" w:hAnsi="Times New Roman" w:cs="Times New Roman"/>
          <w:color w:val="1C1E29"/>
          <w:sz w:val="24"/>
          <w:szCs w:val="24"/>
        </w:rPr>
        <w:t xml:space="preserve"> also typically include information on how to access the conference call. Managers make the presentation of the call and issue earnings release in a presumably consistent pattern (e.g., </w:t>
      </w:r>
      <w:proofErr w:type="spellStart"/>
      <w:r w:rsidR="00A943A0">
        <w:rPr>
          <w:rFonts w:ascii="Times New Roman" w:hAnsi="Times New Roman" w:cs="Times New Roman"/>
          <w:color w:val="1C1E29"/>
          <w:sz w:val="24"/>
          <w:szCs w:val="24"/>
        </w:rPr>
        <w:t>Bushee</w:t>
      </w:r>
      <w:proofErr w:type="spellEnd"/>
      <w:r w:rsidR="00A943A0">
        <w:rPr>
          <w:rFonts w:ascii="Times New Roman" w:hAnsi="Times New Roman" w:cs="Times New Roman"/>
          <w:color w:val="1C1E29"/>
          <w:sz w:val="24"/>
          <w:szCs w:val="24"/>
        </w:rPr>
        <w:t xml:space="preserve"> et al. 2018; </w:t>
      </w:r>
      <w:proofErr w:type="spellStart"/>
      <w:r w:rsidR="00A943A0">
        <w:rPr>
          <w:rFonts w:ascii="Times New Roman" w:hAnsi="Times New Roman" w:cs="Times New Roman"/>
          <w:color w:val="1C1E29"/>
          <w:sz w:val="24"/>
          <w:szCs w:val="24"/>
        </w:rPr>
        <w:t>Bushee</w:t>
      </w:r>
      <w:proofErr w:type="spellEnd"/>
      <w:r w:rsidR="00A943A0">
        <w:rPr>
          <w:rFonts w:ascii="Times New Roman" w:hAnsi="Times New Roman" w:cs="Times New Roman"/>
          <w:color w:val="1C1E29"/>
          <w:sz w:val="24"/>
          <w:szCs w:val="24"/>
        </w:rPr>
        <w:t xml:space="preserve"> et al. 2020). Thus, w</w:t>
      </w:r>
      <w:r w:rsidR="00BC29F9">
        <w:rPr>
          <w:rFonts w:ascii="Times New Roman" w:hAnsi="Times New Roman" w:cs="Times New Roman"/>
          <w:color w:val="1C1E29"/>
          <w:sz w:val="24"/>
          <w:szCs w:val="24"/>
        </w:rPr>
        <w:t>e</w:t>
      </w:r>
      <w:r w:rsidR="00534957">
        <w:rPr>
          <w:rFonts w:ascii="Times New Roman" w:hAnsi="Times New Roman" w:cs="Times New Roman"/>
          <w:color w:val="1C1E29"/>
          <w:sz w:val="24"/>
          <w:szCs w:val="24"/>
        </w:rPr>
        <w:t xml:space="preserve"> classify each forward-looking statement as either </w:t>
      </w:r>
      <w:r w:rsidR="00A943A0">
        <w:rPr>
          <w:rFonts w:ascii="Times New Roman" w:hAnsi="Times New Roman" w:cs="Times New Roman"/>
          <w:color w:val="1C1E29"/>
          <w:sz w:val="24"/>
          <w:szCs w:val="24"/>
        </w:rPr>
        <w:t>earnings</w:t>
      </w:r>
      <w:r w:rsidR="00534957">
        <w:rPr>
          <w:rFonts w:ascii="Times New Roman" w:hAnsi="Times New Roman" w:cs="Times New Roman"/>
          <w:color w:val="1C1E29"/>
          <w:sz w:val="24"/>
          <w:szCs w:val="24"/>
        </w:rPr>
        <w:t>-</w:t>
      </w:r>
      <w:r w:rsidR="00A943A0">
        <w:rPr>
          <w:rFonts w:ascii="Times New Roman" w:hAnsi="Times New Roman" w:cs="Times New Roman"/>
          <w:color w:val="1C1E29"/>
          <w:sz w:val="24"/>
          <w:szCs w:val="24"/>
        </w:rPr>
        <w:t>related (</w:t>
      </w:r>
      <w:r w:rsidR="00A943A0" w:rsidRPr="00A943A0">
        <w:rPr>
          <w:rFonts w:ascii="Times New Roman" w:hAnsi="Times New Roman" w:cs="Times New Roman"/>
          <w:i/>
          <w:color w:val="1C1E29"/>
          <w:sz w:val="24"/>
          <w:szCs w:val="24"/>
        </w:rPr>
        <w:t>ERN_FWLs</w:t>
      </w:r>
      <w:r w:rsidR="00A943A0">
        <w:rPr>
          <w:rFonts w:ascii="Times New Roman" w:hAnsi="Times New Roman" w:cs="Times New Roman"/>
          <w:color w:val="1C1E29"/>
          <w:sz w:val="24"/>
          <w:szCs w:val="24"/>
        </w:rPr>
        <w:t>) or non-earnings related (</w:t>
      </w:r>
      <w:r w:rsidR="00A943A0" w:rsidRPr="00A943A0">
        <w:rPr>
          <w:rFonts w:ascii="Times New Roman" w:hAnsi="Times New Roman" w:cs="Times New Roman"/>
          <w:i/>
          <w:color w:val="1C1E29"/>
          <w:sz w:val="24"/>
          <w:szCs w:val="24"/>
        </w:rPr>
        <w:t>NRN_FWLs</w:t>
      </w:r>
      <w:r w:rsidR="00A943A0">
        <w:rPr>
          <w:rFonts w:ascii="Times New Roman" w:hAnsi="Times New Roman" w:cs="Times New Roman"/>
          <w:color w:val="1C1E29"/>
          <w:sz w:val="24"/>
          <w:szCs w:val="24"/>
        </w:rPr>
        <w:t xml:space="preserve">), using search words commonly used by researchers who have manually collected earnings forecasts from sources like Dow Jones News Retrieval Service (Jennings 1987; Skinner 1994; </w:t>
      </w:r>
      <w:proofErr w:type="spellStart"/>
      <w:r w:rsidR="00A943A0">
        <w:rPr>
          <w:rFonts w:ascii="Times New Roman" w:hAnsi="Times New Roman" w:cs="Times New Roman"/>
          <w:color w:val="1C1E29"/>
          <w:sz w:val="24"/>
          <w:szCs w:val="24"/>
        </w:rPr>
        <w:t>Bozanic</w:t>
      </w:r>
      <w:proofErr w:type="spellEnd"/>
      <w:r w:rsidR="00A943A0">
        <w:rPr>
          <w:rFonts w:ascii="Times New Roman" w:hAnsi="Times New Roman" w:cs="Times New Roman"/>
          <w:color w:val="1C1E29"/>
          <w:sz w:val="24"/>
          <w:szCs w:val="24"/>
        </w:rPr>
        <w:t xml:space="preserve"> et al. 2018). </w:t>
      </w:r>
      <w:r w:rsidR="00A943A0" w:rsidRPr="00176626">
        <w:rPr>
          <w:rFonts w:ascii="Times New Roman" w:hAnsi="Times New Roman" w:cs="Times New Roman"/>
          <w:color w:val="1C1E29"/>
          <w:sz w:val="24"/>
          <w:szCs w:val="24"/>
        </w:rPr>
        <w:t xml:space="preserve">A forward-looking statement is identified as earnings-related if it includes </w:t>
      </w:r>
      <w:r w:rsidR="00A943A0">
        <w:rPr>
          <w:rFonts w:ascii="Times New Roman" w:hAnsi="Times New Roman" w:cs="Times New Roman"/>
          <w:color w:val="1C1E29"/>
          <w:sz w:val="24"/>
          <w:szCs w:val="24"/>
        </w:rPr>
        <w:t xml:space="preserve">the </w:t>
      </w:r>
      <w:r w:rsidR="00A943A0" w:rsidRPr="00176626">
        <w:rPr>
          <w:rFonts w:ascii="Times New Roman" w:hAnsi="Times New Roman" w:cs="Times New Roman"/>
          <w:color w:val="1C1E29"/>
          <w:sz w:val="24"/>
          <w:szCs w:val="24"/>
        </w:rPr>
        <w:t>words such as “EPS”</w:t>
      </w:r>
      <w:r w:rsidR="00262A72">
        <w:rPr>
          <w:rFonts w:ascii="Times New Roman" w:hAnsi="Times New Roman" w:cs="Times New Roman"/>
          <w:color w:val="1C1E29"/>
          <w:sz w:val="24"/>
          <w:szCs w:val="24"/>
        </w:rPr>
        <w:t xml:space="preserve">, “income”, “loss”, or “profit”, following </w:t>
      </w:r>
      <w:proofErr w:type="spellStart"/>
      <w:r w:rsidR="00262A72">
        <w:rPr>
          <w:rFonts w:ascii="Times New Roman" w:hAnsi="Times New Roman" w:cs="Times New Roman"/>
          <w:color w:val="1C1E29"/>
          <w:sz w:val="24"/>
          <w:szCs w:val="24"/>
        </w:rPr>
        <w:t>Bozanic</w:t>
      </w:r>
      <w:proofErr w:type="spellEnd"/>
      <w:r w:rsidR="00262A72">
        <w:rPr>
          <w:rFonts w:ascii="Times New Roman" w:hAnsi="Times New Roman" w:cs="Times New Roman"/>
          <w:color w:val="1C1E29"/>
          <w:sz w:val="24"/>
          <w:szCs w:val="24"/>
        </w:rPr>
        <w:t xml:space="preserve"> et al. </w:t>
      </w:r>
      <w:r w:rsidR="00262A72">
        <w:rPr>
          <w:rFonts w:ascii="Times New Roman" w:hAnsi="Times New Roman" w:cs="Times New Roman"/>
          <w:color w:val="1C1E29"/>
          <w:sz w:val="24"/>
          <w:szCs w:val="24"/>
        </w:rPr>
        <w:lastRenderedPageBreak/>
        <w:t>(2018). The non-</w:t>
      </w:r>
      <w:proofErr w:type="gramStart"/>
      <w:r w:rsidR="00262A72">
        <w:rPr>
          <w:rFonts w:ascii="Times New Roman" w:hAnsi="Times New Roman" w:cs="Times New Roman"/>
          <w:color w:val="1C1E29"/>
          <w:sz w:val="24"/>
          <w:szCs w:val="24"/>
        </w:rPr>
        <w:t>earnings related</w:t>
      </w:r>
      <w:proofErr w:type="gramEnd"/>
      <w:r w:rsidR="00262A72">
        <w:rPr>
          <w:rFonts w:ascii="Times New Roman" w:hAnsi="Times New Roman" w:cs="Times New Roman"/>
          <w:color w:val="1C1E29"/>
          <w:sz w:val="24"/>
          <w:szCs w:val="24"/>
        </w:rPr>
        <w:t xml:space="preserve"> forward-looking statement is</w:t>
      </w:r>
      <w:r w:rsidR="00262A72" w:rsidRPr="00176626">
        <w:rPr>
          <w:rFonts w:ascii="Times New Roman" w:hAnsi="Times New Roman" w:cs="Times New Roman"/>
          <w:color w:val="1C1E29"/>
          <w:sz w:val="24"/>
          <w:szCs w:val="24"/>
        </w:rPr>
        <w:t xml:space="preserve"> defined as </w:t>
      </w:r>
      <w:r w:rsidR="00262A72">
        <w:rPr>
          <w:rFonts w:ascii="Times New Roman" w:hAnsi="Times New Roman" w:cs="Times New Roman"/>
          <w:color w:val="1C1E29"/>
          <w:sz w:val="24"/>
          <w:szCs w:val="24"/>
        </w:rPr>
        <w:t>a sentence</w:t>
      </w:r>
      <w:r w:rsidR="00262A72" w:rsidRPr="00176626">
        <w:rPr>
          <w:rFonts w:ascii="Times New Roman" w:hAnsi="Times New Roman" w:cs="Times New Roman"/>
          <w:color w:val="1C1E29"/>
          <w:sz w:val="24"/>
          <w:szCs w:val="24"/>
        </w:rPr>
        <w:t xml:space="preserve"> containing a forward-looking term (e.g., “company expects” or “firm projects”) that do not contain an earnings term (e.g., “income” </w:t>
      </w:r>
      <w:r w:rsidR="00262A72">
        <w:rPr>
          <w:rFonts w:ascii="Times New Roman" w:hAnsi="Times New Roman" w:cs="Times New Roman"/>
          <w:color w:val="1C1E29"/>
          <w:sz w:val="24"/>
          <w:szCs w:val="24"/>
        </w:rPr>
        <w:t xml:space="preserve">or “profit”). </w:t>
      </w:r>
    </w:p>
    <w:p w14:paraId="71471C2B" w14:textId="5CDFD910" w:rsidR="00293529" w:rsidRPr="00176626" w:rsidRDefault="00BC29F9" w:rsidP="00293529">
      <w:pPr>
        <w:spacing w:line="480" w:lineRule="auto"/>
        <w:contextualSpacing/>
        <w:jc w:val="both"/>
        <w:rPr>
          <w:rFonts w:ascii="AdvPSA88D" w:hAnsi="AdvPSA88D" w:cs="AdvPSA88D"/>
          <w:sz w:val="24"/>
          <w:szCs w:val="24"/>
        </w:rPr>
      </w:pPr>
      <w:r>
        <w:rPr>
          <w:rFonts w:ascii="Times New Roman" w:hAnsi="Times New Roman" w:cs="Times New Roman"/>
          <w:color w:val="1C1E29"/>
          <w:sz w:val="24"/>
          <w:szCs w:val="24"/>
        </w:rPr>
        <w:tab/>
        <w:t>We also classify each forward-looking statement as either financial (</w:t>
      </w:r>
      <w:r w:rsidRPr="00262A72">
        <w:rPr>
          <w:rFonts w:ascii="Times New Roman" w:hAnsi="Times New Roman" w:cs="Times New Roman"/>
          <w:i/>
          <w:color w:val="1C1E29"/>
          <w:sz w:val="24"/>
          <w:szCs w:val="24"/>
        </w:rPr>
        <w:t>FIN_FWLs</w:t>
      </w:r>
      <w:r>
        <w:rPr>
          <w:rFonts w:ascii="Times New Roman" w:hAnsi="Times New Roman" w:cs="Times New Roman"/>
          <w:color w:val="1C1E29"/>
          <w:sz w:val="24"/>
          <w:szCs w:val="24"/>
        </w:rPr>
        <w:t>) or non-financial (</w:t>
      </w:r>
      <w:r w:rsidRPr="00262A72">
        <w:rPr>
          <w:rFonts w:ascii="Times New Roman" w:hAnsi="Times New Roman" w:cs="Times New Roman"/>
          <w:i/>
          <w:color w:val="1C1E29"/>
          <w:sz w:val="24"/>
          <w:szCs w:val="24"/>
        </w:rPr>
        <w:t>NFN_FWLs</w:t>
      </w:r>
      <w:r>
        <w:rPr>
          <w:rFonts w:ascii="Times New Roman" w:hAnsi="Times New Roman" w:cs="Times New Roman"/>
          <w:color w:val="1C1E29"/>
          <w:sz w:val="24"/>
          <w:szCs w:val="24"/>
        </w:rPr>
        <w:t xml:space="preserve">). </w:t>
      </w:r>
      <w:r w:rsidR="006F7D05">
        <w:rPr>
          <w:rFonts w:ascii="Times New Roman" w:hAnsi="Times New Roman" w:cs="Times New Roman"/>
          <w:color w:val="1C1E29"/>
          <w:sz w:val="24"/>
          <w:szCs w:val="24"/>
        </w:rPr>
        <w:t xml:space="preserve"> </w:t>
      </w:r>
      <w:r w:rsidR="006F7D05">
        <w:rPr>
          <w:rFonts w:ascii="Times New Roman" w:hAnsi="Times New Roman" w:cs="Times New Roman"/>
          <w:sz w:val="24"/>
          <w:szCs w:val="24"/>
        </w:rPr>
        <w:t xml:space="preserve">Matsumoto, Pronk, and </w:t>
      </w:r>
      <w:proofErr w:type="spellStart"/>
      <w:r w:rsidR="006F7D05">
        <w:rPr>
          <w:rFonts w:ascii="Times New Roman" w:hAnsi="Times New Roman" w:cs="Times New Roman"/>
          <w:sz w:val="24"/>
          <w:szCs w:val="24"/>
        </w:rPr>
        <w:t>Roelofsen</w:t>
      </w:r>
      <w:proofErr w:type="spellEnd"/>
      <w:r w:rsidR="006F7D05">
        <w:rPr>
          <w:rFonts w:ascii="Times New Roman" w:hAnsi="Times New Roman" w:cs="Times New Roman"/>
          <w:sz w:val="24"/>
          <w:szCs w:val="24"/>
        </w:rPr>
        <w:t xml:space="preserve"> (2011) claim that: “</w:t>
      </w:r>
      <w:r w:rsidR="006F7D05" w:rsidRPr="00262A72">
        <w:rPr>
          <w:rFonts w:ascii="Times New Roman" w:hAnsi="Times New Roman" w:cs="Times New Roman"/>
          <w:sz w:val="24"/>
          <w:szCs w:val="24"/>
        </w:rPr>
        <w:t>Since the typical earnings release focuses on financial, backward-looking information, it is likely that nonfinancial, future-oriented disclosures are incrementally informative to the market.”</w:t>
      </w:r>
      <w:r w:rsidR="006F7D05">
        <w:rPr>
          <w:rFonts w:ascii="Times New Roman" w:hAnsi="Times New Roman" w:cs="Times New Roman"/>
          <w:sz w:val="24"/>
          <w:szCs w:val="24"/>
        </w:rPr>
        <w:t xml:space="preserve"> However, the authors do not examine financial versus non-financial forward-looking statements due to their data constraint</w:t>
      </w:r>
      <w:r w:rsidR="00293529">
        <w:rPr>
          <w:rFonts w:ascii="Times New Roman" w:hAnsi="Times New Roman" w:cs="Times New Roman"/>
          <w:sz w:val="24"/>
          <w:szCs w:val="24"/>
        </w:rPr>
        <w:t>s</w:t>
      </w:r>
      <w:r w:rsidR="006F7D05">
        <w:rPr>
          <w:rFonts w:ascii="Times New Roman" w:hAnsi="Times New Roman" w:cs="Times New Roman"/>
          <w:sz w:val="24"/>
          <w:szCs w:val="24"/>
        </w:rPr>
        <w:t>.</w:t>
      </w:r>
      <w:r w:rsidR="006F7D05">
        <w:rPr>
          <w:rStyle w:val="FootnoteReference"/>
          <w:rFonts w:ascii="Times New Roman" w:hAnsi="Times New Roman" w:cs="Times New Roman"/>
          <w:sz w:val="24"/>
          <w:szCs w:val="24"/>
        </w:rPr>
        <w:footnoteReference w:id="5"/>
      </w:r>
      <w:r w:rsidR="006F7D05">
        <w:rPr>
          <w:rFonts w:ascii="Times New Roman" w:hAnsi="Times New Roman" w:cs="Times New Roman"/>
          <w:sz w:val="24"/>
          <w:szCs w:val="24"/>
        </w:rPr>
        <w:t xml:space="preserve"> We </w:t>
      </w:r>
      <w:r w:rsidR="00293529">
        <w:rPr>
          <w:rFonts w:ascii="Times New Roman" w:hAnsi="Times New Roman" w:cs="Times New Roman"/>
          <w:sz w:val="24"/>
          <w:szCs w:val="24"/>
        </w:rPr>
        <w:t>contribute by comparing financial forward-looking and non-financial forward-looking statements</w:t>
      </w:r>
      <w:r w:rsidR="006F7D05">
        <w:rPr>
          <w:rFonts w:ascii="Times New Roman" w:hAnsi="Times New Roman" w:cs="Times New Roman"/>
          <w:sz w:val="24"/>
          <w:szCs w:val="24"/>
        </w:rPr>
        <w:t xml:space="preserve"> in this paper. </w:t>
      </w:r>
      <w:r w:rsidR="00293529">
        <w:rPr>
          <w:rFonts w:ascii="Times New Roman" w:hAnsi="Times New Roman" w:cs="Times New Roman"/>
          <w:sz w:val="24"/>
          <w:szCs w:val="24"/>
        </w:rPr>
        <w:t xml:space="preserve">A financial forward-looking statement is identified as a sentence </w:t>
      </w:r>
      <w:r w:rsidR="00293529" w:rsidRPr="00176626">
        <w:rPr>
          <w:rFonts w:ascii="Times New Roman" w:hAnsi="Times New Roman" w:cs="Times New Roman"/>
          <w:color w:val="1C1E29"/>
          <w:sz w:val="24"/>
          <w:szCs w:val="24"/>
        </w:rPr>
        <w:t xml:space="preserve">containing a forward-looking term (e.g., “company expects” or “firm projects”) </w:t>
      </w:r>
      <w:r w:rsidR="00293529">
        <w:rPr>
          <w:rFonts w:ascii="Times New Roman" w:hAnsi="Times New Roman" w:cs="Times New Roman"/>
          <w:color w:val="1C1E29"/>
          <w:sz w:val="24"/>
          <w:szCs w:val="24"/>
        </w:rPr>
        <w:t xml:space="preserve">and a financial term, </w:t>
      </w:r>
      <w:r w:rsidR="00293529" w:rsidRPr="00176626">
        <w:rPr>
          <w:rFonts w:ascii="Times New Roman" w:hAnsi="Times New Roman" w:cs="Times New Roman"/>
          <w:color w:val="1C1E29"/>
          <w:sz w:val="24"/>
          <w:szCs w:val="24"/>
        </w:rPr>
        <w:t xml:space="preserve">following </w:t>
      </w:r>
      <w:r w:rsidR="00293529" w:rsidRPr="00176626">
        <w:rPr>
          <w:rFonts w:ascii="AdvPSA88D" w:hAnsi="AdvPSA88D" w:cs="AdvPSA88D"/>
          <w:sz w:val="24"/>
          <w:szCs w:val="24"/>
        </w:rPr>
        <w:t xml:space="preserve">Matsumoto et al. </w:t>
      </w:r>
      <w:r w:rsidR="00293529">
        <w:rPr>
          <w:rFonts w:ascii="AdvPSA88D" w:hAnsi="AdvPSA88D" w:cs="AdvPSA88D"/>
          <w:sz w:val="24"/>
          <w:szCs w:val="24"/>
        </w:rPr>
        <w:t>(</w:t>
      </w:r>
      <w:r w:rsidR="00293529" w:rsidRPr="00176626">
        <w:rPr>
          <w:rFonts w:ascii="AdvPSA88D" w:hAnsi="AdvPSA88D" w:cs="AdvPSA88D"/>
          <w:sz w:val="24"/>
          <w:szCs w:val="24"/>
        </w:rPr>
        <w:t>2011</w:t>
      </w:r>
      <w:r w:rsidR="00293529">
        <w:rPr>
          <w:rFonts w:ascii="AdvPSA88D" w:hAnsi="AdvPSA88D" w:cs="AdvPSA88D"/>
          <w:sz w:val="24"/>
          <w:szCs w:val="24"/>
        </w:rPr>
        <w:t>)’s</w:t>
      </w:r>
      <w:r w:rsidR="00293529" w:rsidRPr="00176626">
        <w:rPr>
          <w:rFonts w:ascii="AdvPSA88D" w:hAnsi="AdvPSA88D" w:cs="AdvPSA88D"/>
          <w:sz w:val="24"/>
          <w:szCs w:val="24"/>
        </w:rPr>
        <w:t xml:space="preserve"> </w:t>
      </w:r>
      <w:r w:rsidR="00293529">
        <w:rPr>
          <w:rFonts w:ascii="AdvPSA88D" w:hAnsi="AdvPSA88D" w:cs="AdvPSA88D"/>
          <w:sz w:val="24"/>
          <w:szCs w:val="24"/>
        </w:rPr>
        <w:t xml:space="preserve">Appendix. A forward-looking statement that does not contain at least one financial term is classified as a non-financial forward-looking statement. </w:t>
      </w:r>
      <w:r w:rsidR="00293529" w:rsidRPr="00176626">
        <w:rPr>
          <w:rFonts w:ascii="AdvPSA88D" w:hAnsi="AdvPSA88D" w:cs="AdvPSA88D"/>
          <w:sz w:val="24"/>
          <w:szCs w:val="24"/>
        </w:rPr>
        <w:t xml:space="preserve"> </w:t>
      </w:r>
    </w:p>
    <w:p w14:paraId="3A39CC16" w14:textId="123E0B60" w:rsidR="006F7D05" w:rsidRPr="00BC29F9" w:rsidRDefault="006F7D05" w:rsidP="006F7D05">
      <w:pPr>
        <w:rPr>
          <w:rFonts w:ascii="Times New Roman" w:hAnsi="Times New Roman" w:cs="Times New Roman"/>
          <w:sz w:val="24"/>
          <w:szCs w:val="24"/>
        </w:rPr>
      </w:pPr>
      <w:r>
        <w:rPr>
          <w:rFonts w:ascii="Times New Roman" w:hAnsi="Times New Roman" w:cs="Times New Roman"/>
          <w:sz w:val="24"/>
          <w:szCs w:val="24"/>
        </w:rPr>
        <w:t xml:space="preserve"> </w:t>
      </w:r>
    </w:p>
    <w:p w14:paraId="58A64F48" w14:textId="627F8FD3" w:rsidR="00BC29F9" w:rsidRDefault="00293529" w:rsidP="00BC29F9">
      <w:pPr>
        <w:rPr>
          <w:rFonts w:ascii="Times New Roman" w:hAnsi="Times New Roman" w:cs="Times New Roman"/>
          <w:color w:val="1C1E29"/>
          <w:sz w:val="24"/>
          <w:szCs w:val="24"/>
        </w:rPr>
      </w:pPr>
      <w:r>
        <w:rPr>
          <w:rFonts w:ascii="Times New Roman" w:hAnsi="Times New Roman" w:cs="Times New Roman"/>
          <w:color w:val="1C1E29"/>
          <w:sz w:val="24"/>
          <w:szCs w:val="24"/>
        </w:rPr>
        <w:t xml:space="preserve"> </w:t>
      </w:r>
    </w:p>
    <w:p w14:paraId="2854923C" w14:textId="6AA7E357" w:rsidR="00A113D1" w:rsidRPr="00A113D1" w:rsidRDefault="00A113D1" w:rsidP="00C24CCA">
      <w:pPr>
        <w:pStyle w:val="ListParagraph"/>
        <w:numPr>
          <w:ilvl w:val="0"/>
          <w:numId w:val="9"/>
        </w:numPr>
        <w:ind w:left="270" w:hanging="270"/>
        <w:rPr>
          <w:rFonts w:ascii="Times New Roman" w:hAnsi="Times New Roman" w:cs="Times New Roman"/>
          <w:b/>
          <w:i/>
          <w:sz w:val="24"/>
          <w:szCs w:val="24"/>
        </w:rPr>
      </w:pPr>
      <w:r w:rsidRPr="00A113D1">
        <w:rPr>
          <w:rFonts w:ascii="Times New Roman" w:hAnsi="Times New Roman" w:cs="Times New Roman"/>
          <w:b/>
          <w:i/>
          <w:sz w:val="24"/>
          <w:szCs w:val="24"/>
        </w:rPr>
        <w:t xml:space="preserve">Empirical Results </w:t>
      </w:r>
    </w:p>
    <w:p w14:paraId="1EADF7B5" w14:textId="44C81739" w:rsidR="00C24CCA" w:rsidRDefault="00C24CCA" w:rsidP="00C24CCA">
      <w:pPr>
        <w:rPr>
          <w:rFonts w:ascii="Times New Roman" w:hAnsi="Times New Roman" w:cs="Times New Roman"/>
          <w:b/>
          <w:sz w:val="24"/>
          <w:szCs w:val="24"/>
        </w:rPr>
      </w:pPr>
    </w:p>
    <w:p w14:paraId="5264DB4D" w14:textId="51377C8A" w:rsidR="00AF5510" w:rsidRPr="001E4E11" w:rsidRDefault="00AF5510" w:rsidP="001E4E11">
      <w:pPr>
        <w:spacing w:line="480" w:lineRule="auto"/>
        <w:ind w:firstLine="720"/>
        <w:contextualSpacing/>
        <w:jc w:val="both"/>
        <w:rPr>
          <w:rFonts w:ascii="Times New Roman" w:eastAsia="Times New Roman" w:hAnsi="Times New Roman" w:cs="Times New Roman"/>
          <w:color w:val="000000"/>
          <w:sz w:val="24"/>
          <w:szCs w:val="24"/>
        </w:rPr>
      </w:pPr>
      <w:r w:rsidRPr="001E4E11">
        <w:rPr>
          <w:rFonts w:ascii="Times New Roman" w:eastAsia="Times New Roman" w:hAnsi="Times New Roman" w:cs="Times New Roman"/>
          <w:color w:val="000000"/>
          <w:sz w:val="24"/>
          <w:szCs w:val="24"/>
        </w:rPr>
        <w:t xml:space="preserve">To use textual analysis to </w:t>
      </w:r>
      <w:r w:rsidR="00CF58F5">
        <w:rPr>
          <w:rFonts w:ascii="Times New Roman" w:eastAsia="Times New Roman" w:hAnsi="Times New Roman" w:cs="Times New Roman"/>
          <w:color w:val="000000"/>
          <w:sz w:val="24"/>
          <w:szCs w:val="24"/>
        </w:rPr>
        <w:t>capture</w:t>
      </w:r>
      <w:r w:rsidRPr="001E4E11">
        <w:rPr>
          <w:rFonts w:ascii="Times New Roman" w:eastAsia="Times New Roman" w:hAnsi="Times New Roman" w:cs="Times New Roman"/>
          <w:color w:val="000000"/>
          <w:sz w:val="24"/>
          <w:szCs w:val="24"/>
        </w:rPr>
        <w:t xml:space="preserve"> forward-looking statements in earnings conference calls, w</w:t>
      </w:r>
      <w:r w:rsidR="002C5725" w:rsidRPr="001E4E11">
        <w:rPr>
          <w:rFonts w:ascii="Times New Roman" w:eastAsia="Times New Roman" w:hAnsi="Times New Roman" w:cs="Times New Roman"/>
          <w:color w:val="000000"/>
          <w:sz w:val="24"/>
          <w:szCs w:val="24"/>
        </w:rPr>
        <w:t xml:space="preserve">e obtain the conference call data from SeekingAlpha.com over 2006 - </w:t>
      </w:r>
      <w:r w:rsidR="001E4E11">
        <w:rPr>
          <w:rFonts w:ascii="Times New Roman" w:eastAsia="Times New Roman" w:hAnsi="Times New Roman" w:cs="Times New Roman"/>
          <w:color w:val="000000"/>
          <w:sz w:val="24"/>
          <w:szCs w:val="24"/>
        </w:rPr>
        <w:t>2016</w:t>
      </w:r>
      <w:r w:rsidR="002C5725" w:rsidRPr="001E4E11">
        <w:rPr>
          <w:rFonts w:ascii="Times New Roman" w:eastAsia="Times New Roman" w:hAnsi="Times New Roman" w:cs="Times New Roman"/>
          <w:color w:val="000000"/>
          <w:sz w:val="24"/>
          <w:szCs w:val="24"/>
        </w:rPr>
        <w:t xml:space="preserve">. Our sample includes </w:t>
      </w:r>
      <w:r w:rsidR="00050B82">
        <w:rPr>
          <w:rFonts w:ascii="Times New Roman" w:eastAsia="Times New Roman" w:hAnsi="Times New Roman" w:cs="Times New Roman"/>
          <w:color w:val="000000"/>
          <w:sz w:val="24"/>
          <w:szCs w:val="24"/>
        </w:rPr>
        <w:t xml:space="preserve">all the available </w:t>
      </w:r>
      <w:r w:rsidR="002C5725" w:rsidRPr="001E4E11">
        <w:rPr>
          <w:rFonts w:ascii="Times New Roman" w:eastAsia="Times New Roman" w:hAnsi="Times New Roman" w:cs="Times New Roman"/>
          <w:color w:val="000000"/>
          <w:sz w:val="24"/>
          <w:szCs w:val="24"/>
        </w:rPr>
        <w:t xml:space="preserve">U.S. public companies with complete conference call transcripts, </w:t>
      </w:r>
      <w:r w:rsidRPr="001E4E11">
        <w:rPr>
          <w:rFonts w:ascii="Times New Roman" w:eastAsia="Times New Roman" w:hAnsi="Times New Roman" w:cs="Times New Roman"/>
          <w:color w:val="000000"/>
          <w:sz w:val="24"/>
          <w:szCs w:val="24"/>
        </w:rPr>
        <w:t xml:space="preserve">analyst and management forecasts from I/B/E/S, stock price data from CRSP, and financial statement data </w:t>
      </w:r>
      <w:r w:rsidRPr="001E4E11">
        <w:rPr>
          <w:rFonts w:ascii="Times New Roman" w:eastAsia="Times New Roman" w:hAnsi="Times New Roman" w:cs="Times New Roman"/>
          <w:color w:val="000000"/>
          <w:sz w:val="24"/>
          <w:szCs w:val="24"/>
        </w:rPr>
        <w:lastRenderedPageBreak/>
        <w:t xml:space="preserve">from </w:t>
      </w:r>
      <w:proofErr w:type="spellStart"/>
      <w:r w:rsidRPr="001E4E11">
        <w:rPr>
          <w:rFonts w:ascii="Times New Roman" w:eastAsia="Times New Roman" w:hAnsi="Times New Roman" w:cs="Times New Roman"/>
          <w:color w:val="000000"/>
          <w:sz w:val="24"/>
          <w:szCs w:val="24"/>
        </w:rPr>
        <w:t>Compustat</w:t>
      </w:r>
      <w:proofErr w:type="spellEnd"/>
      <w:r w:rsidRPr="001E4E11">
        <w:rPr>
          <w:rFonts w:ascii="Times New Roman" w:eastAsia="Times New Roman" w:hAnsi="Times New Roman" w:cs="Times New Roman"/>
          <w:color w:val="000000"/>
          <w:sz w:val="24"/>
          <w:szCs w:val="24"/>
        </w:rPr>
        <w:t xml:space="preserve">. </w:t>
      </w:r>
      <w:r w:rsidR="00D44767" w:rsidRPr="001E4E11">
        <w:rPr>
          <w:rFonts w:ascii="Times New Roman" w:eastAsia="Times New Roman" w:hAnsi="Times New Roman" w:cs="Times New Roman"/>
          <w:color w:val="000000"/>
          <w:sz w:val="24"/>
          <w:szCs w:val="24"/>
        </w:rPr>
        <w:t xml:space="preserve">Our final sample contains </w:t>
      </w:r>
      <w:r w:rsidR="001E4E11" w:rsidRPr="00F17440">
        <w:rPr>
          <w:rFonts w:ascii="Times New Roman" w:eastAsia="Times New Roman" w:hAnsi="Times New Roman" w:cs="Times New Roman"/>
          <w:color w:val="000000"/>
          <w:sz w:val="24"/>
          <w:szCs w:val="24"/>
        </w:rPr>
        <w:t>21,1</w:t>
      </w:r>
      <w:r w:rsidR="00F17440" w:rsidRPr="00F17440">
        <w:rPr>
          <w:rFonts w:ascii="Times New Roman" w:eastAsia="Times New Roman" w:hAnsi="Times New Roman" w:cs="Times New Roman"/>
          <w:color w:val="000000"/>
          <w:sz w:val="24"/>
          <w:szCs w:val="24"/>
        </w:rPr>
        <w:t>10</w:t>
      </w:r>
      <w:r w:rsidR="001E4E11" w:rsidRPr="001E4E11">
        <w:rPr>
          <w:rFonts w:ascii="Times New Roman" w:eastAsia="Times New Roman" w:hAnsi="Times New Roman" w:cs="Times New Roman"/>
          <w:color w:val="000000"/>
          <w:sz w:val="24"/>
          <w:szCs w:val="24"/>
        </w:rPr>
        <w:t xml:space="preserve"> firm-quarter observations to estimate Equation (2). </w:t>
      </w:r>
    </w:p>
    <w:p w14:paraId="491C5D14" w14:textId="5680B238" w:rsidR="00C92771" w:rsidRDefault="009732FF" w:rsidP="00557F6B">
      <w:pPr>
        <w:spacing w:line="480" w:lineRule="auto"/>
        <w:ind w:firstLine="720"/>
        <w:contextualSpacing/>
        <w:jc w:val="both"/>
        <w:rPr>
          <w:rFonts w:ascii="Times New Roman" w:eastAsia="Times New Roman" w:hAnsi="Times New Roman" w:cs="Times New Roman"/>
          <w:color w:val="000000"/>
          <w:sz w:val="24"/>
          <w:szCs w:val="24"/>
        </w:rPr>
      </w:pPr>
      <w:r w:rsidRPr="00557F6B">
        <w:rPr>
          <w:rFonts w:ascii="Times New Roman" w:eastAsia="Times New Roman" w:hAnsi="Times New Roman" w:cs="Times New Roman"/>
          <w:color w:val="000000"/>
          <w:sz w:val="24"/>
          <w:szCs w:val="24"/>
        </w:rPr>
        <w:t xml:space="preserve">Table 1 reports descriptive statistics for the variables used in our main analysis. Consistent with previous studies on forward-looking disclosure </w:t>
      </w:r>
      <w:r w:rsidR="00FF45AD" w:rsidRPr="00557F6B">
        <w:rPr>
          <w:rFonts w:ascii="Times New Roman" w:eastAsia="Times New Roman" w:hAnsi="Times New Roman" w:cs="Times New Roman"/>
          <w:color w:val="000000"/>
          <w:sz w:val="24"/>
          <w:szCs w:val="24"/>
        </w:rPr>
        <w:t xml:space="preserve">in conference calls </w:t>
      </w:r>
      <w:r w:rsidRPr="00557F6B">
        <w:rPr>
          <w:rFonts w:ascii="Times New Roman" w:eastAsia="Times New Roman" w:hAnsi="Times New Roman" w:cs="Times New Roman"/>
          <w:color w:val="000000"/>
          <w:sz w:val="24"/>
          <w:szCs w:val="24"/>
        </w:rPr>
        <w:t xml:space="preserve">(e.g., </w:t>
      </w:r>
      <w:proofErr w:type="spellStart"/>
      <w:r w:rsidRPr="00557F6B">
        <w:rPr>
          <w:rFonts w:ascii="Times New Roman" w:eastAsia="Times New Roman" w:hAnsi="Times New Roman" w:cs="Times New Roman"/>
          <w:color w:val="000000"/>
          <w:sz w:val="24"/>
          <w:szCs w:val="24"/>
        </w:rPr>
        <w:t>Bushee</w:t>
      </w:r>
      <w:proofErr w:type="spellEnd"/>
      <w:r w:rsidRPr="00557F6B">
        <w:rPr>
          <w:rFonts w:ascii="Times New Roman" w:eastAsia="Times New Roman" w:hAnsi="Times New Roman" w:cs="Times New Roman"/>
          <w:color w:val="000000"/>
          <w:sz w:val="24"/>
          <w:szCs w:val="24"/>
        </w:rPr>
        <w:t xml:space="preserve"> and Huang 2019</w:t>
      </w:r>
      <w:r w:rsidR="000F1D3C" w:rsidRPr="00557F6B">
        <w:rPr>
          <w:rFonts w:ascii="Times New Roman" w:eastAsia="Times New Roman" w:hAnsi="Times New Roman" w:cs="Times New Roman"/>
          <w:color w:val="000000"/>
          <w:sz w:val="24"/>
          <w:szCs w:val="24"/>
        </w:rPr>
        <w:t>), we find that managers use more forward-looking statements when they make presentation</w:t>
      </w:r>
      <w:r w:rsidR="00F17440">
        <w:rPr>
          <w:rFonts w:ascii="Times New Roman" w:eastAsia="Times New Roman" w:hAnsi="Times New Roman" w:cs="Times New Roman"/>
          <w:color w:val="000000"/>
          <w:sz w:val="24"/>
          <w:szCs w:val="24"/>
        </w:rPr>
        <w:t>s</w:t>
      </w:r>
      <w:r w:rsidR="000F1D3C" w:rsidRPr="00557F6B">
        <w:rPr>
          <w:rFonts w:ascii="Times New Roman" w:eastAsia="Times New Roman" w:hAnsi="Times New Roman" w:cs="Times New Roman"/>
          <w:color w:val="000000"/>
          <w:sz w:val="24"/>
          <w:szCs w:val="24"/>
        </w:rPr>
        <w:t xml:space="preserve"> </w:t>
      </w:r>
      <w:r w:rsidR="00557F6B">
        <w:rPr>
          <w:rFonts w:ascii="Times New Roman" w:eastAsia="Times New Roman" w:hAnsi="Times New Roman" w:cs="Times New Roman"/>
          <w:color w:val="000000"/>
          <w:sz w:val="24"/>
          <w:szCs w:val="24"/>
        </w:rPr>
        <w:t xml:space="preserve">during conference calls </w:t>
      </w:r>
      <w:r w:rsidR="000F1D3C" w:rsidRPr="00557F6B">
        <w:rPr>
          <w:rFonts w:ascii="Times New Roman" w:eastAsia="Times New Roman" w:hAnsi="Times New Roman" w:cs="Times New Roman"/>
          <w:color w:val="000000"/>
          <w:sz w:val="24"/>
          <w:szCs w:val="24"/>
        </w:rPr>
        <w:t>than when they respond to analysts’ questions. The average proportion of forward-looking statements in conference call presentation and managers’ responses to analysts is 19.65% and 6.67%, respectively</w:t>
      </w:r>
      <w:r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Virtually, all </w:t>
      </w:r>
      <w:r w:rsidR="00557F6B" w:rsidRPr="00557F6B">
        <w:rPr>
          <w:rFonts w:ascii="Times New Roman" w:eastAsia="Times New Roman" w:hAnsi="Times New Roman" w:cs="Times New Roman"/>
          <w:color w:val="000000"/>
          <w:sz w:val="24"/>
          <w:szCs w:val="24"/>
        </w:rPr>
        <w:t xml:space="preserve">of </w:t>
      </w:r>
      <w:r w:rsidR="00C92771" w:rsidRPr="00557F6B">
        <w:rPr>
          <w:rFonts w:ascii="Times New Roman" w:eastAsia="Times New Roman" w:hAnsi="Times New Roman" w:cs="Times New Roman"/>
          <w:color w:val="000000"/>
          <w:sz w:val="24"/>
          <w:szCs w:val="24"/>
        </w:rPr>
        <w:t>(99%) the conference calls include at least one forward-looking sta</w:t>
      </w:r>
      <w:r w:rsidR="007473FD">
        <w:rPr>
          <w:rFonts w:ascii="Times New Roman" w:eastAsia="Times New Roman" w:hAnsi="Times New Roman" w:cs="Times New Roman"/>
          <w:color w:val="000000"/>
          <w:sz w:val="24"/>
          <w:szCs w:val="24"/>
        </w:rPr>
        <w:t>tement</w:t>
      </w:r>
      <w:r w:rsidR="00C92771" w:rsidRPr="00557F6B">
        <w:rPr>
          <w:rFonts w:ascii="Times New Roman" w:eastAsia="Times New Roman" w:hAnsi="Times New Roman" w:cs="Times New Roman"/>
          <w:color w:val="000000"/>
          <w:sz w:val="24"/>
          <w:szCs w:val="24"/>
        </w:rPr>
        <w:t xml:space="preserve"> (</w:t>
      </w:r>
      <w:proofErr w:type="spellStart"/>
      <w:r w:rsidR="00C92771" w:rsidRPr="00557F6B">
        <w:rPr>
          <w:rFonts w:ascii="Times New Roman" w:eastAsia="Times New Roman" w:hAnsi="Times New Roman" w:cs="Times New Roman"/>
          <w:color w:val="000000"/>
          <w:sz w:val="24"/>
          <w:szCs w:val="24"/>
        </w:rPr>
        <w:t>untabulated</w:t>
      </w:r>
      <w:proofErr w:type="spellEnd"/>
      <w:r w:rsidR="00C92771" w:rsidRPr="00557F6B">
        <w:rPr>
          <w:rFonts w:ascii="Times New Roman" w:eastAsia="Times New Roman" w:hAnsi="Times New Roman" w:cs="Times New Roman"/>
          <w:color w:val="000000"/>
          <w:sz w:val="24"/>
          <w:szCs w:val="24"/>
        </w:rPr>
        <w:t xml:space="preserve">). </w:t>
      </w:r>
      <w:r w:rsidR="001E4E11">
        <w:rPr>
          <w:rFonts w:ascii="Times New Roman" w:eastAsia="Times New Roman" w:hAnsi="Times New Roman" w:cs="Times New Roman"/>
          <w:color w:val="000000"/>
          <w:sz w:val="24"/>
          <w:szCs w:val="24"/>
        </w:rPr>
        <w:t>In contrast</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only </w:t>
      </w:r>
      <w:r w:rsidR="001D3415" w:rsidRPr="00557F6B">
        <w:rPr>
          <w:rFonts w:ascii="Times New Roman" w:eastAsia="Times New Roman" w:hAnsi="Times New Roman" w:cs="Times New Roman"/>
          <w:color w:val="000000"/>
          <w:sz w:val="24"/>
          <w:szCs w:val="24"/>
        </w:rPr>
        <w:t>43% of managers in our observations issue a</w:t>
      </w:r>
      <w:r w:rsidR="00520A6B">
        <w:rPr>
          <w:rFonts w:ascii="Times New Roman" w:eastAsia="Times New Roman" w:hAnsi="Times New Roman" w:cs="Times New Roman"/>
          <w:color w:val="000000"/>
          <w:sz w:val="24"/>
          <w:szCs w:val="24"/>
        </w:rPr>
        <w:t>t least a</w:t>
      </w:r>
      <w:r w:rsidR="001D3415" w:rsidRPr="00557F6B">
        <w:rPr>
          <w:rFonts w:ascii="Times New Roman" w:eastAsia="Times New Roman" w:hAnsi="Times New Roman" w:cs="Times New Roman"/>
          <w:color w:val="000000"/>
          <w:sz w:val="24"/>
          <w:szCs w:val="24"/>
        </w:rPr>
        <w:t xml:space="preserve"> quantitative management forecast at </w:t>
      </w:r>
      <w:r w:rsidR="00557F6B">
        <w:rPr>
          <w:rFonts w:ascii="Times New Roman" w:eastAsia="Times New Roman" w:hAnsi="Times New Roman" w:cs="Times New Roman"/>
          <w:color w:val="000000"/>
          <w:sz w:val="24"/>
          <w:szCs w:val="24"/>
        </w:rPr>
        <w:t xml:space="preserve">the </w:t>
      </w:r>
      <w:r w:rsidR="001D3415" w:rsidRPr="00557F6B">
        <w:rPr>
          <w:rFonts w:ascii="Times New Roman" w:eastAsia="Times New Roman" w:hAnsi="Times New Roman" w:cs="Times New Roman"/>
          <w:color w:val="000000"/>
          <w:sz w:val="24"/>
          <w:szCs w:val="24"/>
        </w:rPr>
        <w:t>conference call</w:t>
      </w:r>
      <w:r w:rsidR="00557F6B">
        <w:rPr>
          <w:rFonts w:ascii="Times New Roman" w:eastAsia="Times New Roman" w:hAnsi="Times New Roman" w:cs="Times New Roman"/>
          <w:color w:val="000000"/>
          <w:sz w:val="24"/>
          <w:szCs w:val="24"/>
        </w:rPr>
        <w:t xml:space="preserve"> </w:t>
      </w:r>
      <w:r w:rsidR="00520A6B">
        <w:rPr>
          <w:rFonts w:ascii="Times New Roman" w:eastAsia="Times New Roman" w:hAnsi="Times New Roman" w:cs="Times New Roman"/>
          <w:color w:val="000000"/>
          <w:sz w:val="24"/>
          <w:szCs w:val="24"/>
        </w:rPr>
        <w:t>date</w:t>
      </w:r>
      <w:r w:rsidR="001D3415" w:rsidRPr="00557F6B">
        <w:rPr>
          <w:rFonts w:ascii="Times New Roman" w:eastAsia="Times New Roman" w:hAnsi="Times New Roman" w:cs="Times New Roman"/>
          <w:color w:val="000000"/>
          <w:sz w:val="24"/>
          <w:szCs w:val="24"/>
        </w:rPr>
        <w:t xml:space="preserve">. Thus, forward-looking information is far more pervasive than what is captured by </w:t>
      </w:r>
      <w:r w:rsidR="00C92771" w:rsidRPr="00557F6B">
        <w:rPr>
          <w:rFonts w:ascii="Times New Roman" w:eastAsia="Times New Roman" w:hAnsi="Times New Roman" w:cs="Times New Roman"/>
          <w:color w:val="000000"/>
          <w:sz w:val="24"/>
          <w:szCs w:val="24"/>
        </w:rPr>
        <w:t>quantitative</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management</w:t>
      </w:r>
      <w:r w:rsidR="001D3415" w:rsidRPr="00557F6B">
        <w:rPr>
          <w:rFonts w:ascii="Times New Roman" w:eastAsia="Times New Roman" w:hAnsi="Times New Roman" w:cs="Times New Roman"/>
          <w:color w:val="000000"/>
          <w:sz w:val="24"/>
          <w:szCs w:val="24"/>
        </w:rPr>
        <w:t xml:space="preserve"> forecasts</w:t>
      </w:r>
      <w:r w:rsidR="00C92771" w:rsidRPr="00557F6B">
        <w:rPr>
          <w:rFonts w:ascii="Times New Roman" w:eastAsia="Times New Roman" w:hAnsi="Times New Roman" w:cs="Times New Roman"/>
          <w:color w:val="000000"/>
          <w:sz w:val="24"/>
          <w:szCs w:val="24"/>
        </w:rPr>
        <w:t xml:space="preserve">, consistent with </w:t>
      </w:r>
      <w:proofErr w:type="spellStart"/>
      <w:r w:rsidR="00C92771" w:rsidRPr="00557F6B">
        <w:rPr>
          <w:rFonts w:ascii="Times New Roman" w:eastAsia="Times New Roman" w:hAnsi="Times New Roman" w:cs="Times New Roman"/>
          <w:color w:val="000000"/>
          <w:sz w:val="24"/>
          <w:szCs w:val="24"/>
        </w:rPr>
        <w:t>Bozanic</w:t>
      </w:r>
      <w:proofErr w:type="spellEnd"/>
      <w:r w:rsidR="00C92771" w:rsidRPr="00557F6B">
        <w:rPr>
          <w:rFonts w:ascii="Times New Roman" w:eastAsia="Times New Roman" w:hAnsi="Times New Roman" w:cs="Times New Roman"/>
          <w:color w:val="000000"/>
          <w:sz w:val="24"/>
          <w:szCs w:val="24"/>
        </w:rPr>
        <w:t xml:space="preserve"> et al. (2018)</w:t>
      </w:r>
      <w:r w:rsidR="001D3415" w:rsidRPr="00557F6B">
        <w:rPr>
          <w:rFonts w:ascii="Times New Roman" w:eastAsia="Times New Roman" w:hAnsi="Times New Roman" w:cs="Times New Roman"/>
          <w:color w:val="000000"/>
          <w:sz w:val="24"/>
          <w:szCs w:val="24"/>
        </w:rPr>
        <w:t xml:space="preserve">. </w:t>
      </w:r>
    </w:p>
    <w:p w14:paraId="1A58F8D2" w14:textId="77777777" w:rsidR="00F17440" w:rsidRDefault="00F17440" w:rsidP="001B7DC6">
      <w:pPr>
        <w:spacing w:after="160" w:line="480" w:lineRule="auto"/>
        <w:contextualSpacing/>
        <w:rPr>
          <w:rFonts w:ascii="Times New Roman" w:hAnsi="Times New Roman" w:cs="Times New Roman"/>
          <w:b/>
          <w:sz w:val="24"/>
          <w:szCs w:val="24"/>
        </w:rPr>
      </w:pPr>
    </w:p>
    <w:p w14:paraId="64FA9268" w14:textId="3734C9D7" w:rsidR="00C24CCA" w:rsidRDefault="00A10528" w:rsidP="001B7DC6">
      <w:pPr>
        <w:spacing w:after="160" w:line="480" w:lineRule="auto"/>
        <w:contextualSpacing/>
        <w:rPr>
          <w:rFonts w:ascii="Times New Roman" w:hAnsi="Times New Roman" w:cs="Times New Roman"/>
          <w:b/>
          <w:sz w:val="24"/>
          <w:szCs w:val="24"/>
        </w:rPr>
      </w:pPr>
      <w:r>
        <w:rPr>
          <w:rFonts w:ascii="Times New Roman" w:hAnsi="Times New Roman" w:cs="Times New Roman"/>
          <w:b/>
          <w:sz w:val="24"/>
          <w:szCs w:val="24"/>
        </w:rPr>
        <w:t>4.</w:t>
      </w:r>
      <w:r w:rsidR="008972C5">
        <w:rPr>
          <w:rFonts w:ascii="Times New Roman" w:hAnsi="Times New Roman" w:cs="Times New Roman"/>
          <w:b/>
          <w:sz w:val="24"/>
          <w:szCs w:val="24"/>
        </w:rPr>
        <w:t>1</w:t>
      </w:r>
      <w:r>
        <w:rPr>
          <w:rFonts w:ascii="Times New Roman" w:hAnsi="Times New Roman" w:cs="Times New Roman"/>
          <w:b/>
          <w:sz w:val="24"/>
          <w:szCs w:val="24"/>
        </w:rPr>
        <w:t xml:space="preserve"> </w:t>
      </w:r>
      <w:r w:rsidR="00C2436D">
        <w:rPr>
          <w:rFonts w:ascii="Times New Roman" w:hAnsi="Times New Roman" w:cs="Times New Roman"/>
          <w:b/>
          <w:sz w:val="24"/>
          <w:szCs w:val="24"/>
        </w:rPr>
        <w:t xml:space="preserve">Regression </w:t>
      </w:r>
      <w:r w:rsidR="00C24CCA" w:rsidRPr="00C24CCA">
        <w:rPr>
          <w:rFonts w:ascii="Times New Roman" w:hAnsi="Times New Roman" w:cs="Times New Roman"/>
          <w:b/>
          <w:sz w:val="24"/>
          <w:szCs w:val="24"/>
        </w:rPr>
        <w:t xml:space="preserve">Results </w:t>
      </w:r>
      <w:r w:rsidR="009D4261">
        <w:rPr>
          <w:rFonts w:ascii="Times New Roman" w:hAnsi="Times New Roman" w:cs="Times New Roman"/>
          <w:b/>
          <w:sz w:val="24"/>
          <w:szCs w:val="24"/>
        </w:rPr>
        <w:t>for H1</w:t>
      </w:r>
    </w:p>
    <w:p w14:paraId="1B96C673" w14:textId="348F6F00" w:rsidR="002E317E" w:rsidRPr="002E317E" w:rsidRDefault="002E317E" w:rsidP="002E317E">
      <w:pPr>
        <w:spacing w:after="160" w:line="480" w:lineRule="auto"/>
        <w:contextualSpacing/>
        <w:rPr>
          <w:rFonts w:ascii="Times New Roman" w:hAnsi="Times New Roman" w:cs="Times New Roman"/>
          <w:b/>
          <w:i/>
          <w:sz w:val="24"/>
          <w:szCs w:val="24"/>
        </w:rPr>
      </w:pPr>
      <w:r w:rsidRPr="002E317E">
        <w:rPr>
          <w:rFonts w:ascii="Times New Roman" w:hAnsi="Times New Roman" w:cs="Times New Roman"/>
          <w:b/>
          <w:i/>
          <w:sz w:val="24"/>
          <w:szCs w:val="24"/>
        </w:rPr>
        <w:t>4.</w:t>
      </w:r>
      <w:r w:rsidR="008972C5">
        <w:rPr>
          <w:rFonts w:ascii="Times New Roman" w:hAnsi="Times New Roman" w:cs="Times New Roman"/>
          <w:b/>
          <w:i/>
          <w:sz w:val="24"/>
          <w:szCs w:val="24"/>
        </w:rPr>
        <w:t>1</w:t>
      </w:r>
      <w:r w:rsidRPr="002E317E">
        <w:rPr>
          <w:rFonts w:ascii="Times New Roman" w:hAnsi="Times New Roman" w:cs="Times New Roman"/>
          <w:b/>
          <w:i/>
          <w:sz w:val="24"/>
          <w:szCs w:val="24"/>
        </w:rPr>
        <w:t>.1 Regression Results for H1</w:t>
      </w:r>
    </w:p>
    <w:p w14:paraId="73FF5807" w14:textId="6F510369" w:rsidR="002D0472" w:rsidRDefault="002D0472" w:rsidP="001B7DC6">
      <w:pPr>
        <w:autoSpaceDE w:val="0"/>
        <w:autoSpaceDN w:val="0"/>
        <w:adjustRightInd w:val="0"/>
        <w:spacing w:line="480" w:lineRule="auto"/>
        <w:ind w:firstLine="720"/>
        <w:contextualSpacing/>
        <w:jc w:val="both"/>
        <w:rPr>
          <w:rFonts w:ascii="TimesNewRomanPSMT" w:hAnsi="TimesNewRomanPSMT" w:cs="TimesNewRomanPSMT"/>
          <w:sz w:val="24"/>
          <w:szCs w:val="24"/>
        </w:rPr>
      </w:pPr>
      <w:r>
        <w:rPr>
          <w:rFonts w:ascii="Times New Roman" w:eastAsia="Times New Roman" w:hAnsi="Times New Roman" w:cs="Times New Roman"/>
          <w:color w:val="000000"/>
          <w:sz w:val="24"/>
          <w:szCs w:val="24"/>
        </w:rPr>
        <w:t xml:space="preserve">To test H1, we estimate Equation (2) using pooled OLS regressions. We correct </w:t>
      </w:r>
      <w:r w:rsidR="00212C3B" w:rsidRPr="00BE4149">
        <w:rPr>
          <w:rFonts w:ascii="Times New Roman" w:eastAsia="Times New Roman" w:hAnsi="Times New Roman" w:cs="Times New Roman"/>
          <w:color w:val="000000"/>
          <w:sz w:val="24"/>
          <w:szCs w:val="24"/>
        </w:rPr>
        <w:t xml:space="preserve">standard errors for </w:t>
      </w:r>
      <w:r w:rsidR="00212C3B">
        <w:rPr>
          <w:rFonts w:ascii="Times New Roman" w:eastAsia="Times New Roman" w:hAnsi="Times New Roman" w:cs="Times New Roman"/>
          <w:color w:val="000000"/>
          <w:sz w:val="24"/>
          <w:szCs w:val="24"/>
        </w:rPr>
        <w:t xml:space="preserve">correlation across observations by </w:t>
      </w:r>
      <w:r w:rsidR="00212C3B" w:rsidRPr="00BE4149">
        <w:rPr>
          <w:rFonts w:ascii="Times New Roman" w:eastAsia="Times New Roman" w:hAnsi="Times New Roman" w:cs="Times New Roman"/>
          <w:color w:val="000000"/>
          <w:sz w:val="24"/>
          <w:szCs w:val="24"/>
        </w:rPr>
        <w:t xml:space="preserve">clustering </w:t>
      </w:r>
      <w:r w:rsidR="00212C3B">
        <w:rPr>
          <w:rFonts w:ascii="Times New Roman" w:eastAsia="Times New Roman" w:hAnsi="Times New Roman" w:cs="Times New Roman"/>
          <w:color w:val="000000"/>
          <w:sz w:val="24"/>
          <w:szCs w:val="24"/>
        </w:rPr>
        <w:t xml:space="preserve">on both </w:t>
      </w:r>
      <w:r w:rsidR="00212C3B" w:rsidRPr="006C10BA">
        <w:rPr>
          <w:rFonts w:ascii="Times New Roman" w:eastAsia="Times New Roman" w:hAnsi="Times New Roman" w:cs="Times New Roman"/>
          <w:color w:val="000000"/>
          <w:sz w:val="24"/>
          <w:szCs w:val="24"/>
        </w:rPr>
        <w:t>firm</w:t>
      </w:r>
      <w:r w:rsidR="00212C3B">
        <w:rPr>
          <w:rFonts w:ascii="Times New Roman" w:eastAsia="Times New Roman" w:hAnsi="Times New Roman" w:cs="Times New Roman"/>
          <w:color w:val="000000"/>
          <w:sz w:val="24"/>
          <w:szCs w:val="24"/>
        </w:rPr>
        <w:t xml:space="preserve"> and date of conference calls, following </w:t>
      </w:r>
      <w:proofErr w:type="spellStart"/>
      <w:r w:rsidR="00212C3B">
        <w:rPr>
          <w:rFonts w:ascii="Times New Roman" w:eastAsia="Times New Roman" w:hAnsi="Times New Roman" w:cs="Times New Roman"/>
          <w:color w:val="000000"/>
          <w:sz w:val="24"/>
          <w:szCs w:val="24"/>
        </w:rPr>
        <w:t>Bushee</w:t>
      </w:r>
      <w:proofErr w:type="spellEnd"/>
      <w:r w:rsidR="00212C3B">
        <w:rPr>
          <w:rFonts w:ascii="Times New Roman" w:eastAsia="Times New Roman" w:hAnsi="Times New Roman" w:cs="Times New Roman"/>
          <w:color w:val="000000"/>
          <w:sz w:val="24"/>
          <w:szCs w:val="24"/>
        </w:rPr>
        <w:t xml:space="preserve"> and Huang (2019) and </w:t>
      </w:r>
      <w:proofErr w:type="spellStart"/>
      <w:r w:rsidR="00212C3B">
        <w:rPr>
          <w:rFonts w:ascii="Times New Roman" w:eastAsia="Times New Roman" w:hAnsi="Times New Roman" w:cs="Times New Roman"/>
          <w:color w:val="000000"/>
          <w:sz w:val="24"/>
          <w:szCs w:val="24"/>
        </w:rPr>
        <w:t>Bushee</w:t>
      </w:r>
      <w:proofErr w:type="spellEnd"/>
      <w:r w:rsidR="00212C3B">
        <w:rPr>
          <w:rFonts w:ascii="Times New Roman" w:eastAsia="Times New Roman" w:hAnsi="Times New Roman" w:cs="Times New Roman"/>
          <w:color w:val="000000"/>
          <w:sz w:val="24"/>
          <w:szCs w:val="24"/>
        </w:rPr>
        <w:t xml:space="preserve">, </w:t>
      </w:r>
      <w:proofErr w:type="spellStart"/>
      <w:r w:rsidR="00212C3B">
        <w:rPr>
          <w:rFonts w:ascii="Times New Roman" w:eastAsia="Times New Roman" w:hAnsi="Times New Roman" w:cs="Times New Roman"/>
          <w:color w:val="000000"/>
          <w:sz w:val="24"/>
          <w:szCs w:val="24"/>
        </w:rPr>
        <w:t>Gow</w:t>
      </w:r>
      <w:proofErr w:type="spellEnd"/>
      <w:r w:rsidR="00212C3B">
        <w:rPr>
          <w:rFonts w:ascii="Times New Roman" w:eastAsia="Times New Roman" w:hAnsi="Times New Roman" w:cs="Times New Roman"/>
          <w:color w:val="000000"/>
          <w:sz w:val="24"/>
          <w:szCs w:val="24"/>
        </w:rPr>
        <w:t>, and Taylor (2018)</w:t>
      </w:r>
      <w:r w:rsidR="00212C3B" w:rsidRPr="00BE4149">
        <w:rPr>
          <w:rFonts w:ascii="Times New Roman" w:eastAsia="Times New Roman" w:hAnsi="Times New Roman" w:cs="Times New Roman"/>
          <w:color w:val="000000"/>
          <w:sz w:val="24"/>
          <w:szCs w:val="24"/>
        </w:rPr>
        <w:t xml:space="preserve">. </w:t>
      </w:r>
      <w:r w:rsidR="00586563">
        <w:rPr>
          <w:rFonts w:ascii="TimesNewRomanPSMT" w:hAnsi="TimesNewRomanPSMT" w:cs="TimesNewRomanPSMT"/>
          <w:sz w:val="24"/>
          <w:szCs w:val="24"/>
        </w:rPr>
        <w:t>We rank all of the independent variables into deciles and scale them to range from 0 to 1, which allows us to easily compare the relative economic</w:t>
      </w:r>
      <w:r w:rsidR="00050B82">
        <w:rPr>
          <w:rFonts w:ascii="TimesNewRomanPSMT" w:hAnsi="TimesNewRomanPSMT" w:cs="TimesNewRomanPSMT"/>
          <w:sz w:val="24"/>
          <w:szCs w:val="24"/>
        </w:rPr>
        <w:t xml:space="preserve"> significance of each variable. E</w:t>
      </w:r>
      <w:r w:rsidR="00586563">
        <w:rPr>
          <w:rFonts w:ascii="TimesNewRomanPSMT" w:hAnsi="TimesNewRomanPSMT" w:cs="TimesNewRomanPSMT"/>
          <w:sz w:val="24"/>
          <w:szCs w:val="24"/>
        </w:rPr>
        <w:t xml:space="preserve">ach coefficient represents the difference in the dependent variable between the top and bottom decile of the respective independent variable. </w:t>
      </w:r>
      <w:r w:rsidR="001B7DC6">
        <w:rPr>
          <w:rFonts w:ascii="TimesNewRomanPSMT" w:hAnsi="TimesNewRomanPSMT" w:cs="TimesNewRomanPSMT"/>
          <w:sz w:val="24"/>
          <w:szCs w:val="24"/>
        </w:rPr>
        <w:t>According to prior studies, t</w:t>
      </w:r>
      <w:r w:rsidR="00586563">
        <w:rPr>
          <w:rFonts w:ascii="TimesNewRomanPSMT" w:hAnsi="TimesNewRomanPSMT" w:cs="TimesNewRomanPSMT"/>
          <w:sz w:val="24"/>
          <w:szCs w:val="24"/>
        </w:rPr>
        <w:t xml:space="preserve">his specification has the added advantage of </w:t>
      </w:r>
      <w:r w:rsidR="00586563">
        <w:rPr>
          <w:rFonts w:ascii="TimesNewRomanPSMT" w:hAnsi="TimesNewRomanPSMT" w:cs="TimesNewRomanPSMT"/>
          <w:sz w:val="24"/>
          <w:szCs w:val="24"/>
        </w:rPr>
        <w:lastRenderedPageBreak/>
        <w:t xml:space="preserve">being robust to outliers </w:t>
      </w:r>
      <w:r w:rsidR="001A1B7F">
        <w:rPr>
          <w:rFonts w:ascii="TimesNewRomanPSMT" w:hAnsi="TimesNewRomanPSMT" w:cs="TimesNewRomanPSMT"/>
          <w:sz w:val="24"/>
          <w:szCs w:val="24"/>
        </w:rPr>
        <w:t>(</w:t>
      </w:r>
      <w:r w:rsidR="001B346B">
        <w:rPr>
          <w:rFonts w:ascii="TimesNewRomanPSMT" w:hAnsi="TimesNewRomanPSMT" w:cs="TimesNewRomanPSMT"/>
          <w:sz w:val="24"/>
          <w:szCs w:val="24"/>
        </w:rPr>
        <w:t xml:space="preserve">Bhushan 1994; </w:t>
      </w:r>
      <w:proofErr w:type="spellStart"/>
      <w:r w:rsidR="001B346B">
        <w:rPr>
          <w:rFonts w:ascii="TimesNewRomanPSMT" w:hAnsi="TimesNewRomanPSMT" w:cs="TimesNewRomanPSMT"/>
          <w:sz w:val="24"/>
          <w:szCs w:val="24"/>
        </w:rPr>
        <w:t>Bartov</w:t>
      </w:r>
      <w:proofErr w:type="spellEnd"/>
      <w:r w:rsidR="001B346B">
        <w:rPr>
          <w:rFonts w:ascii="TimesNewRomanPSMT" w:hAnsi="TimesNewRomanPSMT" w:cs="TimesNewRomanPSMT"/>
          <w:sz w:val="24"/>
          <w:szCs w:val="24"/>
        </w:rPr>
        <w:t xml:space="preserve"> et al. 2000; Truong and </w:t>
      </w:r>
      <w:proofErr w:type="spellStart"/>
      <w:r w:rsidR="001B346B">
        <w:rPr>
          <w:rFonts w:ascii="TimesNewRomanPSMT" w:hAnsi="TimesNewRomanPSMT" w:cs="TimesNewRomanPSMT"/>
          <w:sz w:val="24"/>
          <w:szCs w:val="24"/>
        </w:rPr>
        <w:t>Corrado</w:t>
      </w:r>
      <w:proofErr w:type="spellEnd"/>
      <w:r w:rsidR="001B346B">
        <w:rPr>
          <w:rFonts w:ascii="TimesNewRomanPSMT" w:hAnsi="TimesNewRomanPSMT" w:cs="TimesNewRomanPSMT"/>
          <w:sz w:val="24"/>
          <w:szCs w:val="24"/>
        </w:rPr>
        <w:t xml:space="preserve"> 2014; </w:t>
      </w:r>
      <w:proofErr w:type="spellStart"/>
      <w:r w:rsidR="00E6765F">
        <w:rPr>
          <w:rFonts w:ascii="TimesNewRomanPSMT" w:hAnsi="TimesNewRomanPSMT" w:cs="TimesNewRomanPSMT"/>
          <w:sz w:val="24"/>
          <w:szCs w:val="24"/>
        </w:rPr>
        <w:t>Bushee</w:t>
      </w:r>
      <w:proofErr w:type="spellEnd"/>
      <w:r w:rsidR="00E6765F">
        <w:rPr>
          <w:rFonts w:ascii="TimesNewRomanPSMT" w:hAnsi="TimesNewRomanPSMT" w:cs="TimesNewRomanPSMT"/>
          <w:sz w:val="24"/>
          <w:szCs w:val="24"/>
        </w:rPr>
        <w:t xml:space="preserve"> et al. 2018; </w:t>
      </w:r>
      <w:r w:rsidR="007579BB">
        <w:rPr>
          <w:rFonts w:ascii="TimesNewRomanPSMT" w:hAnsi="TimesNewRomanPSMT" w:cs="TimesNewRomanPSMT"/>
          <w:sz w:val="24"/>
          <w:szCs w:val="24"/>
        </w:rPr>
        <w:t xml:space="preserve">Huang et al. </w:t>
      </w:r>
      <w:r w:rsidR="00072715">
        <w:rPr>
          <w:rFonts w:ascii="TimesNewRomanPSMT" w:hAnsi="TimesNewRomanPSMT" w:cs="TimesNewRomanPSMT"/>
          <w:sz w:val="24"/>
          <w:szCs w:val="24"/>
        </w:rPr>
        <w:t>2018; Huang 2019</w:t>
      </w:r>
      <w:r w:rsidR="001A1B7F">
        <w:rPr>
          <w:rFonts w:ascii="TimesNewRomanPSMT" w:hAnsi="TimesNewRomanPSMT" w:cs="TimesNewRomanPSMT"/>
          <w:sz w:val="24"/>
          <w:szCs w:val="24"/>
        </w:rPr>
        <w:t>)</w:t>
      </w:r>
      <w:r w:rsidR="00586563">
        <w:rPr>
          <w:rFonts w:ascii="TimesNewRomanPSMT" w:hAnsi="TimesNewRomanPSMT" w:cs="TimesNewRomanPSMT"/>
          <w:sz w:val="24"/>
          <w:szCs w:val="24"/>
        </w:rPr>
        <w:t>.</w:t>
      </w:r>
    </w:p>
    <w:p w14:paraId="22343432" w14:textId="7CD2C47E" w:rsidR="001E1982" w:rsidRDefault="002D0472" w:rsidP="001B7DC6">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2</w:t>
      </w:r>
      <w:r w:rsidR="00C24CCA" w:rsidRPr="00E07314">
        <w:rPr>
          <w:rFonts w:ascii="Times New Roman" w:eastAsia="Times New Roman" w:hAnsi="Times New Roman" w:cs="Times New Roman"/>
          <w:color w:val="000000"/>
          <w:sz w:val="24"/>
          <w:szCs w:val="24"/>
        </w:rPr>
        <w:t xml:space="preserve"> presents the </w:t>
      </w:r>
      <w:r w:rsidR="001B7DC6">
        <w:rPr>
          <w:rFonts w:ascii="Times New Roman" w:eastAsia="Times New Roman" w:hAnsi="Times New Roman" w:cs="Times New Roman"/>
          <w:color w:val="000000"/>
          <w:sz w:val="24"/>
          <w:szCs w:val="24"/>
        </w:rPr>
        <w:t xml:space="preserve">regression </w:t>
      </w:r>
      <w:r w:rsidR="00FA1695">
        <w:rPr>
          <w:rFonts w:ascii="Times New Roman" w:eastAsia="Times New Roman" w:hAnsi="Times New Roman" w:cs="Times New Roman"/>
          <w:color w:val="000000"/>
          <w:sz w:val="24"/>
          <w:szCs w:val="24"/>
        </w:rPr>
        <w:t xml:space="preserve">results </w:t>
      </w:r>
      <w:r w:rsidR="005D7CB9">
        <w:rPr>
          <w:rFonts w:ascii="Times New Roman" w:eastAsia="Times New Roman" w:hAnsi="Times New Roman" w:cs="Times New Roman"/>
          <w:color w:val="000000"/>
          <w:sz w:val="24"/>
          <w:szCs w:val="24"/>
        </w:rPr>
        <w:t xml:space="preserve">in </w:t>
      </w:r>
      <w:r w:rsidR="001B7DC6">
        <w:rPr>
          <w:rFonts w:ascii="Times New Roman" w:eastAsia="Times New Roman" w:hAnsi="Times New Roman" w:cs="Times New Roman"/>
          <w:color w:val="000000"/>
          <w:sz w:val="24"/>
          <w:szCs w:val="24"/>
        </w:rPr>
        <w:t xml:space="preserve">estimating the relation between </w:t>
      </w:r>
      <w:r w:rsidR="0066320E">
        <w:rPr>
          <w:rFonts w:ascii="Times New Roman" w:eastAsia="Times New Roman" w:hAnsi="Times New Roman" w:cs="Times New Roman"/>
          <w:color w:val="000000"/>
          <w:sz w:val="24"/>
          <w:szCs w:val="24"/>
        </w:rPr>
        <w:t>∆</w:t>
      </w:r>
      <w:r w:rsidR="00FA1695" w:rsidRPr="00FA1695">
        <w:rPr>
          <w:rFonts w:ascii="Times New Roman" w:eastAsia="Times New Roman" w:hAnsi="Times New Roman" w:cs="Times New Roman"/>
          <w:i/>
          <w:color w:val="000000"/>
          <w:sz w:val="24"/>
          <w:szCs w:val="24"/>
        </w:rPr>
        <w:t>SPREAD</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Our results show that the interaction terms between </w:t>
      </w:r>
      <w:r w:rsidR="00C24CCA" w:rsidRPr="00E07314">
        <w:rPr>
          <w:rFonts w:ascii="Times New Roman" w:eastAsia="Times New Roman" w:hAnsi="Times New Roman" w:cs="Times New Roman"/>
          <w:i/>
          <w:color w:val="000000"/>
          <w:sz w:val="24"/>
          <w:szCs w:val="24"/>
        </w:rPr>
        <w:t>CONSER</w:t>
      </w:r>
      <w:r w:rsidR="00C24CCA" w:rsidRPr="00E07314">
        <w:rPr>
          <w:rFonts w:ascii="Times New Roman" w:eastAsia="Times New Roman" w:hAnsi="Times New Roman" w:cs="Times New Roman"/>
          <w:color w:val="000000"/>
          <w:sz w:val="24"/>
          <w:szCs w:val="24"/>
        </w:rPr>
        <w:t xml:space="preserve"> and </w:t>
      </w:r>
      <w:r w:rsidR="00E07314" w:rsidRPr="00E07314">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are </w:t>
      </w:r>
      <w:r w:rsidR="005A633B">
        <w:rPr>
          <w:rFonts w:ascii="Times New Roman" w:eastAsia="Times New Roman" w:hAnsi="Times New Roman" w:cs="Times New Roman"/>
          <w:color w:val="000000"/>
          <w:sz w:val="24"/>
          <w:szCs w:val="24"/>
        </w:rPr>
        <w:t>negative</w:t>
      </w:r>
      <w:r w:rsidR="00C24CCA" w:rsidRPr="00E07314">
        <w:rPr>
          <w:rFonts w:ascii="Times New Roman" w:eastAsia="Times New Roman" w:hAnsi="Times New Roman" w:cs="Times New Roman"/>
          <w:color w:val="000000"/>
          <w:sz w:val="24"/>
          <w:szCs w:val="24"/>
        </w:rPr>
        <w:t xml:space="preserve"> and significant at the 5 percent level or better (in Columns (1)</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(4), respectively). </w:t>
      </w:r>
      <w:r w:rsidR="005A633B">
        <w:rPr>
          <w:rFonts w:ascii="Times New Roman" w:eastAsia="Times New Roman" w:hAnsi="Times New Roman" w:cs="Times New Roman"/>
          <w:color w:val="000000"/>
          <w:sz w:val="24"/>
          <w:szCs w:val="24"/>
        </w:rPr>
        <w:t xml:space="preserve">The results indicate that firms with </w:t>
      </w:r>
      <w:r w:rsidR="001B7DC6">
        <w:rPr>
          <w:rFonts w:ascii="Times New Roman" w:eastAsia="Times New Roman" w:hAnsi="Times New Roman" w:cs="Times New Roman"/>
          <w:color w:val="000000"/>
          <w:sz w:val="24"/>
          <w:szCs w:val="24"/>
        </w:rPr>
        <w:t>more conservative reporting</w:t>
      </w:r>
      <w:r w:rsidR="005A633B">
        <w:rPr>
          <w:rFonts w:ascii="Times New Roman" w:eastAsia="Times New Roman" w:hAnsi="Times New Roman" w:cs="Times New Roman"/>
          <w:color w:val="000000"/>
          <w:sz w:val="24"/>
          <w:szCs w:val="24"/>
        </w:rPr>
        <w:t xml:space="preserve"> and also providing forward-looking information </w:t>
      </w:r>
      <w:r w:rsidR="008507EA">
        <w:rPr>
          <w:rFonts w:ascii="Times New Roman" w:eastAsia="Times New Roman" w:hAnsi="Times New Roman" w:cs="Times New Roman"/>
          <w:color w:val="000000"/>
          <w:sz w:val="24"/>
          <w:szCs w:val="24"/>
        </w:rPr>
        <w:t xml:space="preserve">during the calls </w:t>
      </w:r>
      <w:r w:rsidR="005A633B">
        <w:rPr>
          <w:rFonts w:ascii="Times New Roman" w:eastAsia="Times New Roman" w:hAnsi="Times New Roman" w:cs="Times New Roman"/>
          <w:color w:val="000000"/>
          <w:sz w:val="24"/>
          <w:szCs w:val="24"/>
        </w:rPr>
        <w:t>are r</w:t>
      </w:r>
      <w:r w:rsidR="008507EA">
        <w:rPr>
          <w:rFonts w:ascii="Times New Roman" w:eastAsia="Times New Roman" w:hAnsi="Times New Roman" w:cs="Times New Roman"/>
          <w:color w:val="000000"/>
          <w:sz w:val="24"/>
          <w:szCs w:val="24"/>
        </w:rPr>
        <w:t xml:space="preserve">elated to a decrease in bid-ask spreads, suggesting </w:t>
      </w:r>
      <w:r w:rsidR="007579BB">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reduced information asymmetry</w:t>
      </w:r>
      <w:r w:rsidR="007579BB">
        <w:rPr>
          <w:rFonts w:ascii="Times New Roman" w:eastAsia="Times New Roman" w:hAnsi="Times New Roman" w:cs="Times New Roman"/>
          <w:color w:val="000000"/>
          <w:sz w:val="24"/>
          <w:szCs w:val="24"/>
        </w:rPr>
        <w:t xml:space="preserve"> for firm information environment</w:t>
      </w:r>
      <w:r w:rsidR="008507EA">
        <w:rPr>
          <w:rFonts w:ascii="Times New Roman" w:eastAsia="Times New Roman" w:hAnsi="Times New Roman" w:cs="Times New Roman"/>
          <w:color w:val="000000"/>
          <w:sz w:val="24"/>
          <w:szCs w:val="24"/>
        </w:rPr>
        <w:t>.</w:t>
      </w:r>
      <w:r w:rsidR="005023BF" w:rsidRPr="005023BF">
        <w:rPr>
          <w:rFonts w:ascii="Times New Roman" w:eastAsia="Times New Roman" w:hAnsi="Times New Roman" w:cs="Times New Roman"/>
          <w:color w:val="000000"/>
        </w:rPr>
        <w:t xml:space="preserve"> </w:t>
      </w:r>
      <w:r w:rsidR="005023BF" w:rsidRPr="005023BF">
        <w:rPr>
          <w:rFonts w:ascii="Times New Roman" w:eastAsia="Times New Roman" w:hAnsi="Times New Roman" w:cs="Times New Roman"/>
          <w:color w:val="000000"/>
          <w:sz w:val="24"/>
          <w:szCs w:val="24"/>
        </w:rPr>
        <w:t xml:space="preserve">The joint effects of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and </w:t>
      </w:r>
      <w:r w:rsidR="005023BF" w:rsidRPr="005023BF">
        <w:rPr>
          <w:rFonts w:ascii="Times New Roman" w:eastAsia="Times New Roman" w:hAnsi="Times New Roman" w:cs="Times New Roman"/>
          <w:i/>
          <w:color w:val="000000"/>
          <w:sz w:val="24"/>
          <w:szCs w:val="24"/>
        </w:rPr>
        <w:t>CONSER</w:t>
      </w:r>
      <w:r w:rsidR="005023BF" w:rsidRPr="005023BF">
        <w:rPr>
          <w:rFonts w:ascii="Times New Roman" w:eastAsia="Times New Roman" w:hAnsi="Times New Roman" w:cs="Times New Roman"/>
          <w:color w:val="000000"/>
          <w:sz w:val="24"/>
          <w:szCs w:val="24"/>
        </w:rPr>
        <w:t xml:space="preserve"> are also economically significant. For example, an increase in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 </w:t>
      </w:r>
      <w:r w:rsidR="005023BF" w:rsidRPr="005023BF">
        <w:rPr>
          <w:rFonts w:ascii="Times New Roman" w:eastAsia="Times New Roman" w:hAnsi="Times New Roman" w:cs="Times New Roman"/>
          <w:i/>
          <w:color w:val="000000"/>
          <w:sz w:val="24"/>
          <w:szCs w:val="24"/>
        </w:rPr>
        <w:t>CONSER_PCA</w:t>
      </w:r>
      <w:r w:rsidR="005023BF" w:rsidRPr="005023BF">
        <w:rPr>
          <w:rFonts w:ascii="Times New Roman" w:eastAsia="Times New Roman" w:hAnsi="Times New Roman" w:cs="Times New Roman"/>
          <w:color w:val="000000"/>
          <w:sz w:val="24"/>
          <w:szCs w:val="24"/>
        </w:rPr>
        <w:t xml:space="preserve"> by one unit implies a decrease in the differential </w:t>
      </w:r>
      <w:r w:rsidR="005023BF" w:rsidRPr="005023BF">
        <w:rPr>
          <w:rFonts w:ascii="Times New Roman" w:eastAsia="Times New Roman" w:hAnsi="Times New Roman" w:cs="Times New Roman"/>
          <w:i/>
          <w:color w:val="000000"/>
          <w:sz w:val="24"/>
          <w:szCs w:val="24"/>
        </w:rPr>
        <w:t>SPREAD</w:t>
      </w:r>
      <w:r w:rsidR="005023BF" w:rsidRPr="005023BF">
        <w:rPr>
          <w:rFonts w:ascii="Times New Roman" w:eastAsia="Times New Roman" w:hAnsi="Times New Roman" w:cs="Times New Roman"/>
          <w:color w:val="000000"/>
          <w:sz w:val="24"/>
          <w:szCs w:val="24"/>
        </w:rPr>
        <w:t xml:space="preserve"> between the top and bottom decile of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(0.002</w:t>
      </w:r>
      <w:r w:rsidR="003620CF">
        <w:rPr>
          <w:rFonts w:ascii="Times New Roman" w:eastAsia="Times New Roman" w:hAnsi="Times New Roman" w:cs="Times New Roman"/>
          <w:color w:val="000000"/>
          <w:sz w:val="24"/>
          <w:szCs w:val="24"/>
        </w:rPr>
        <w:t>4</w:t>
      </w:r>
      <w:r w:rsidR="005023BF" w:rsidRPr="005023BF">
        <w:rPr>
          <w:rFonts w:ascii="Times New Roman" w:eastAsia="Times New Roman" w:hAnsi="Times New Roman" w:cs="Times New Roman"/>
          <w:color w:val="000000"/>
          <w:sz w:val="24"/>
          <w:szCs w:val="24"/>
        </w:rPr>
        <w:t xml:space="preserve"> * (10 - 1)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w:t>
      </w:r>
      <w:r w:rsidR="00EB28F4" w:rsidRPr="005023BF">
        <w:rPr>
          <w:rFonts w:ascii="Times New Roman" w:eastAsia="Times New Roman" w:hAnsi="Times New Roman" w:cs="Times New Roman"/>
          <w:color w:val="000000"/>
          <w:sz w:val="24"/>
          <w:szCs w:val="24"/>
        </w:rPr>
        <w:t xml:space="preserve">The coefficient on </w:t>
      </w:r>
      <w:r w:rsidR="00EB28F4" w:rsidRPr="005023BF">
        <w:rPr>
          <w:rFonts w:ascii="Times New Roman" w:eastAsia="Times New Roman" w:hAnsi="Times New Roman" w:cs="Times New Roman"/>
          <w:i/>
          <w:color w:val="000000"/>
          <w:sz w:val="24"/>
          <w:szCs w:val="24"/>
        </w:rPr>
        <w:t>CO</w:t>
      </w:r>
      <w:r w:rsidR="00EB28F4" w:rsidRPr="007579BB">
        <w:rPr>
          <w:rFonts w:ascii="Times New Roman" w:eastAsia="Times New Roman" w:hAnsi="Times New Roman" w:cs="Times New Roman"/>
          <w:i/>
          <w:color w:val="000000"/>
          <w:sz w:val="24"/>
          <w:szCs w:val="24"/>
        </w:rPr>
        <w:t>NSER_PCA</w:t>
      </w:r>
      <w:r w:rsidR="00EB28F4">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alone </w:t>
      </w:r>
      <w:r w:rsidR="00EB28F4">
        <w:rPr>
          <w:rFonts w:ascii="Times New Roman" w:eastAsia="Times New Roman" w:hAnsi="Times New Roman" w:cs="Times New Roman"/>
          <w:color w:val="000000"/>
          <w:sz w:val="24"/>
          <w:szCs w:val="24"/>
        </w:rPr>
        <w:t>is negative</w:t>
      </w:r>
      <w:r w:rsidR="007579BB">
        <w:rPr>
          <w:rFonts w:ascii="Times New Roman" w:eastAsia="Times New Roman" w:hAnsi="Times New Roman" w:cs="Times New Roman"/>
          <w:color w:val="000000"/>
          <w:sz w:val="24"/>
          <w:szCs w:val="24"/>
        </w:rPr>
        <w:t xml:space="preserve"> and marginally significant</w:t>
      </w:r>
      <w:r w:rsidR="00EB28F4">
        <w:rPr>
          <w:rFonts w:ascii="Times New Roman" w:eastAsia="Times New Roman" w:hAnsi="Times New Roman" w:cs="Times New Roman"/>
          <w:color w:val="000000"/>
          <w:sz w:val="24"/>
          <w:szCs w:val="24"/>
        </w:rPr>
        <w:t xml:space="preserve">, indicating that higher conservatism mitigates information asymmetry, supporting </w:t>
      </w:r>
      <w:proofErr w:type="spellStart"/>
      <w:r w:rsidR="00EB28F4">
        <w:rPr>
          <w:rFonts w:ascii="Times New Roman" w:eastAsia="Times New Roman" w:hAnsi="Times New Roman" w:cs="Times New Roman"/>
          <w:color w:val="000000"/>
          <w:sz w:val="24"/>
          <w:szCs w:val="24"/>
        </w:rPr>
        <w:t>LaFond</w:t>
      </w:r>
      <w:proofErr w:type="spellEnd"/>
      <w:r w:rsidR="00EB28F4">
        <w:rPr>
          <w:rFonts w:ascii="Times New Roman" w:eastAsia="Times New Roman" w:hAnsi="Times New Roman" w:cs="Times New Roman"/>
          <w:color w:val="000000"/>
          <w:sz w:val="24"/>
          <w:szCs w:val="24"/>
        </w:rPr>
        <w:t xml:space="preserve"> and Watts (2008). </w:t>
      </w:r>
      <w:r w:rsidR="001B7DC6">
        <w:rPr>
          <w:rFonts w:ascii="Times New Roman" w:eastAsia="Times New Roman" w:hAnsi="Times New Roman" w:cs="Times New Roman"/>
          <w:color w:val="000000"/>
          <w:sz w:val="24"/>
          <w:szCs w:val="24"/>
        </w:rPr>
        <w:t xml:space="preserve">Putting </w:t>
      </w:r>
      <w:r w:rsidR="00E6765F">
        <w:rPr>
          <w:rFonts w:ascii="Times New Roman" w:eastAsia="Times New Roman" w:hAnsi="Times New Roman" w:cs="Times New Roman"/>
          <w:color w:val="000000"/>
          <w:sz w:val="24"/>
          <w:szCs w:val="24"/>
        </w:rPr>
        <w:t>together, t</w:t>
      </w:r>
      <w:r w:rsidR="00C24CCA" w:rsidRPr="00E07314">
        <w:rPr>
          <w:rFonts w:ascii="Times New Roman" w:eastAsia="Times New Roman" w:hAnsi="Times New Roman" w:cs="Times New Roman"/>
          <w:color w:val="000000"/>
          <w:sz w:val="24"/>
          <w:szCs w:val="24"/>
        </w:rPr>
        <w:t>h</w:t>
      </w:r>
      <w:r w:rsidR="00DB338F">
        <w:rPr>
          <w:rFonts w:ascii="Times New Roman" w:eastAsia="Times New Roman" w:hAnsi="Times New Roman" w:cs="Times New Roman"/>
          <w:color w:val="000000"/>
          <w:sz w:val="24"/>
          <w:szCs w:val="24"/>
        </w:rPr>
        <w:t xml:space="preserve">e above results suggest that </w:t>
      </w:r>
      <w:r w:rsidR="008D3116">
        <w:rPr>
          <w:rFonts w:ascii="Times New Roman" w:eastAsia="Times New Roman" w:hAnsi="Times New Roman" w:cs="Times New Roman"/>
          <w:color w:val="000000"/>
          <w:sz w:val="24"/>
          <w:szCs w:val="24"/>
        </w:rPr>
        <w:t>firms providing forward-looking information during their earnings conference calls and practicing</w:t>
      </w:r>
      <w:r w:rsidR="008D3116" w:rsidRPr="00E07314">
        <w:rPr>
          <w:rFonts w:ascii="Times New Roman" w:eastAsia="Times New Roman" w:hAnsi="Times New Roman" w:cs="Times New Roman"/>
          <w:color w:val="000000"/>
          <w:sz w:val="24"/>
          <w:szCs w:val="24"/>
        </w:rPr>
        <w:t xml:space="preserve"> conservative accounting </w:t>
      </w:r>
      <w:r w:rsidR="008D3116">
        <w:rPr>
          <w:rFonts w:ascii="Times New Roman" w:eastAsia="Times New Roman" w:hAnsi="Times New Roman" w:cs="Times New Roman"/>
          <w:color w:val="000000"/>
          <w:sz w:val="24"/>
          <w:szCs w:val="24"/>
        </w:rPr>
        <w:t>generate</w:t>
      </w:r>
      <w:r w:rsidR="00C24CCA" w:rsidRPr="00E07314">
        <w:rPr>
          <w:rFonts w:ascii="Times New Roman" w:eastAsia="Times New Roman" w:hAnsi="Times New Roman" w:cs="Times New Roman"/>
          <w:color w:val="000000"/>
          <w:sz w:val="24"/>
          <w:szCs w:val="24"/>
        </w:rPr>
        <w:t xml:space="preserve"> </w:t>
      </w:r>
      <w:r w:rsidR="00A740C6">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high</w:t>
      </w:r>
      <w:r w:rsidR="001B7DC6">
        <w:rPr>
          <w:rFonts w:ascii="Times New Roman" w:eastAsia="Times New Roman" w:hAnsi="Times New Roman" w:cs="Times New Roman"/>
          <w:color w:val="000000"/>
          <w:sz w:val="24"/>
          <w:szCs w:val="24"/>
        </w:rPr>
        <w:t>er</w:t>
      </w:r>
      <w:r w:rsidR="008507EA">
        <w:rPr>
          <w:rFonts w:ascii="Times New Roman" w:eastAsia="Times New Roman" w:hAnsi="Times New Roman" w:cs="Times New Roman"/>
          <w:color w:val="000000"/>
          <w:sz w:val="24"/>
          <w:szCs w:val="24"/>
        </w:rPr>
        <w:t xml:space="preserve">-quality </w:t>
      </w:r>
      <w:r w:rsidR="00DB338F">
        <w:rPr>
          <w:rFonts w:ascii="Times New Roman" w:eastAsia="Times New Roman" w:hAnsi="Times New Roman" w:cs="Times New Roman"/>
          <w:color w:val="000000"/>
          <w:sz w:val="24"/>
          <w:szCs w:val="24"/>
        </w:rPr>
        <w:t>information environment</w:t>
      </w:r>
      <w:r w:rsidR="00C24CCA" w:rsidRPr="00E07314">
        <w:rPr>
          <w:rFonts w:ascii="Times New Roman" w:eastAsia="Times New Roman" w:hAnsi="Times New Roman" w:cs="Times New Roman"/>
          <w:color w:val="000000"/>
          <w:sz w:val="24"/>
          <w:szCs w:val="24"/>
        </w:rPr>
        <w:t xml:space="preserve">, consistent with H1. </w:t>
      </w:r>
    </w:p>
    <w:p w14:paraId="5C119DE9" w14:textId="42B46A74" w:rsidR="00212C3B" w:rsidRPr="00FA1695"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00FA1695">
        <w:rPr>
          <w:rFonts w:ascii="Times New Roman" w:eastAsia="Times New Roman" w:hAnsi="Times New Roman" w:cs="Times New Roman"/>
          <w:color w:val="000000"/>
          <w:sz w:val="24"/>
          <w:szCs w:val="24"/>
        </w:rPr>
        <w:t xml:space="preserve">reports the results of estimating Equation (2) </w:t>
      </w:r>
      <w:r w:rsidR="001B7DC6">
        <w:rPr>
          <w:rFonts w:ascii="Times New Roman" w:eastAsia="Times New Roman" w:hAnsi="Times New Roman" w:cs="Times New Roman"/>
          <w:color w:val="000000"/>
          <w:sz w:val="24"/>
          <w:szCs w:val="24"/>
        </w:rPr>
        <w:t xml:space="preserve">estimating the relation </w:t>
      </w:r>
      <w:r w:rsidR="0066320E">
        <w:rPr>
          <w:rFonts w:ascii="Times New Roman" w:eastAsia="Times New Roman" w:hAnsi="Times New Roman" w:cs="Times New Roman"/>
          <w:color w:val="000000"/>
          <w:sz w:val="24"/>
          <w:szCs w:val="24"/>
        </w:rPr>
        <w:t>∆</w:t>
      </w:r>
      <w:r w:rsidR="00FA1695" w:rsidRPr="005A633B">
        <w:rPr>
          <w:rFonts w:ascii="Times New Roman" w:eastAsia="Times New Roman" w:hAnsi="Times New Roman" w:cs="Times New Roman"/>
          <w:i/>
          <w:color w:val="000000"/>
          <w:sz w:val="24"/>
          <w:szCs w:val="24"/>
        </w:rPr>
        <w:t>AFERROR</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In all specifications, the impact of the joint effects on analyst forecast errors, as captured by the coefficient of </w:t>
      </w:r>
      <w:r w:rsidR="00FA1695" w:rsidRPr="00E07314">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 </w:t>
      </w:r>
      <w:r w:rsidR="00FA1695" w:rsidRPr="00E07314">
        <w:rPr>
          <w:rFonts w:ascii="Times New Roman" w:eastAsia="Times New Roman" w:hAnsi="Times New Roman" w:cs="Times New Roman"/>
          <w:i/>
          <w:color w:val="000000"/>
          <w:sz w:val="24"/>
          <w:szCs w:val="24"/>
        </w:rPr>
        <w:t>CONSER</w:t>
      </w:r>
      <w:r w:rsidR="001E1982">
        <w:rPr>
          <w:rFonts w:ascii="Times New Roman" w:eastAsia="Times New Roman" w:hAnsi="Times New Roman" w:cs="Times New Roman"/>
          <w:color w:val="000000"/>
          <w:sz w:val="24"/>
          <w:szCs w:val="24"/>
        </w:rPr>
        <w:t xml:space="preserve">, is negative and significant. </w:t>
      </w:r>
      <w:r w:rsidR="002A0094">
        <w:rPr>
          <w:rFonts w:ascii="Times New Roman" w:eastAsia="Times New Roman" w:hAnsi="Times New Roman" w:cs="Times New Roman"/>
          <w:color w:val="000000"/>
          <w:sz w:val="24"/>
          <w:szCs w:val="24"/>
        </w:rPr>
        <w:t xml:space="preserve">These results indicate a </w:t>
      </w:r>
      <w:r w:rsidR="00EF3605">
        <w:rPr>
          <w:rFonts w:ascii="Times New Roman" w:eastAsia="Times New Roman" w:hAnsi="Times New Roman" w:cs="Times New Roman"/>
          <w:color w:val="000000"/>
          <w:sz w:val="24"/>
          <w:szCs w:val="24"/>
        </w:rPr>
        <w:t>smaller</w:t>
      </w:r>
      <w:r w:rsidR="002A0094">
        <w:rPr>
          <w:rFonts w:ascii="Times New Roman" w:eastAsia="Times New Roman" w:hAnsi="Times New Roman" w:cs="Times New Roman"/>
          <w:color w:val="000000"/>
          <w:sz w:val="24"/>
          <w:szCs w:val="24"/>
        </w:rPr>
        <w:t xml:space="preserve"> average analyst forecast error for firms practicing higher conservatism and providing more forward-looking information to market participants in</w:t>
      </w:r>
      <w:r w:rsidR="00EF3605">
        <w:rPr>
          <w:rFonts w:ascii="Times New Roman" w:eastAsia="Times New Roman" w:hAnsi="Times New Roman" w:cs="Times New Roman"/>
          <w:color w:val="000000"/>
          <w:sz w:val="24"/>
          <w:szCs w:val="24"/>
        </w:rPr>
        <w:t xml:space="preserve"> their </w:t>
      </w:r>
      <w:r w:rsidR="002A0094">
        <w:rPr>
          <w:rFonts w:ascii="Times New Roman" w:eastAsia="Times New Roman" w:hAnsi="Times New Roman" w:cs="Times New Roman"/>
          <w:color w:val="000000"/>
          <w:sz w:val="24"/>
          <w:szCs w:val="24"/>
        </w:rPr>
        <w:t xml:space="preserve">conference calls. </w:t>
      </w:r>
    </w:p>
    <w:p w14:paraId="5CB9B26C" w14:textId="0068C415" w:rsidR="005023BF"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w:t>
      </w:r>
      <w:r w:rsidR="005023B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2A0094">
        <w:rPr>
          <w:rFonts w:ascii="Times New Roman" w:eastAsia="Times New Roman" w:hAnsi="Times New Roman" w:cs="Times New Roman"/>
          <w:color w:val="000000"/>
          <w:sz w:val="24"/>
          <w:szCs w:val="24"/>
        </w:rPr>
        <w:t xml:space="preserve">reports the results of estimating Equation (2) using </w:t>
      </w:r>
      <w:r w:rsidR="00EF3605">
        <w:rPr>
          <w:rFonts w:ascii="Times New Roman" w:eastAsia="Times New Roman" w:hAnsi="Times New Roman" w:cs="Times New Roman"/>
          <w:color w:val="000000"/>
          <w:sz w:val="24"/>
          <w:szCs w:val="24"/>
        </w:rPr>
        <w:t>∆</w:t>
      </w:r>
      <w:r w:rsidR="002A0094" w:rsidRPr="005A633B">
        <w:rPr>
          <w:rFonts w:ascii="Times New Roman" w:eastAsia="Times New Roman" w:hAnsi="Times New Roman" w:cs="Times New Roman"/>
          <w:i/>
          <w:color w:val="000000"/>
          <w:sz w:val="24"/>
          <w:szCs w:val="24"/>
        </w:rPr>
        <w:t>AF</w:t>
      </w:r>
      <w:r w:rsidR="002A0094">
        <w:rPr>
          <w:rFonts w:ascii="Times New Roman" w:eastAsia="Times New Roman" w:hAnsi="Times New Roman" w:cs="Times New Roman"/>
          <w:i/>
          <w:color w:val="000000"/>
          <w:sz w:val="24"/>
          <w:szCs w:val="24"/>
        </w:rPr>
        <w:t>DISP</w:t>
      </w:r>
      <w:r w:rsidR="002A0094">
        <w:rPr>
          <w:rFonts w:ascii="Times New Roman" w:eastAsia="Times New Roman" w:hAnsi="Times New Roman" w:cs="Times New Roman"/>
          <w:color w:val="000000"/>
          <w:sz w:val="24"/>
          <w:szCs w:val="24"/>
        </w:rPr>
        <w:t xml:space="preserve"> as the </w:t>
      </w:r>
      <w:r w:rsidR="00EF3605">
        <w:rPr>
          <w:rFonts w:ascii="Times New Roman" w:eastAsia="Times New Roman" w:hAnsi="Times New Roman" w:cs="Times New Roman"/>
          <w:color w:val="000000"/>
          <w:sz w:val="24"/>
          <w:szCs w:val="24"/>
        </w:rPr>
        <w:t xml:space="preserve">third </w:t>
      </w:r>
      <w:r w:rsidR="002A0094">
        <w:rPr>
          <w:rFonts w:ascii="Times New Roman" w:eastAsia="Times New Roman" w:hAnsi="Times New Roman" w:cs="Times New Roman"/>
          <w:color w:val="000000"/>
          <w:sz w:val="24"/>
          <w:szCs w:val="24"/>
        </w:rPr>
        <w:t xml:space="preserve">measure for </w:t>
      </w:r>
      <w:r w:rsidR="00A740C6">
        <w:rPr>
          <w:rFonts w:ascii="Times New Roman" w:eastAsia="Times New Roman" w:hAnsi="Times New Roman" w:cs="Times New Roman"/>
          <w:color w:val="000000"/>
          <w:sz w:val="24"/>
          <w:szCs w:val="24"/>
        </w:rPr>
        <w:t xml:space="preserve">the </w:t>
      </w:r>
      <w:r w:rsidR="005023BF">
        <w:rPr>
          <w:rFonts w:ascii="Times New Roman" w:eastAsia="Times New Roman" w:hAnsi="Times New Roman" w:cs="Times New Roman"/>
          <w:color w:val="000000"/>
          <w:sz w:val="24"/>
          <w:szCs w:val="24"/>
        </w:rPr>
        <w:t xml:space="preserve">firm </w:t>
      </w:r>
      <w:r w:rsidR="002A0094">
        <w:rPr>
          <w:rFonts w:ascii="Times New Roman" w:eastAsia="Times New Roman" w:hAnsi="Times New Roman" w:cs="Times New Roman"/>
          <w:color w:val="000000"/>
          <w:sz w:val="24"/>
          <w:szCs w:val="24"/>
        </w:rPr>
        <w:t xml:space="preserve">information environment. We find that the coefficients of </w:t>
      </w:r>
      <w:r w:rsidR="002A0094" w:rsidRPr="00E07314">
        <w:rPr>
          <w:rFonts w:ascii="Times New Roman" w:eastAsia="Times New Roman" w:hAnsi="Times New Roman" w:cs="Times New Roman"/>
          <w:i/>
          <w:color w:val="000000"/>
          <w:sz w:val="24"/>
          <w:szCs w:val="24"/>
        </w:rPr>
        <w:t>FWDLOOK</w:t>
      </w:r>
      <w:r w:rsidR="002A0094">
        <w:rPr>
          <w:rFonts w:ascii="Times New Roman" w:eastAsia="Times New Roman" w:hAnsi="Times New Roman" w:cs="Times New Roman"/>
          <w:color w:val="000000"/>
          <w:sz w:val="24"/>
          <w:szCs w:val="24"/>
        </w:rPr>
        <w:t xml:space="preserve"> × </w:t>
      </w:r>
      <w:r w:rsidR="002A0094" w:rsidRPr="00E07314">
        <w:rPr>
          <w:rFonts w:ascii="Times New Roman" w:eastAsia="Times New Roman" w:hAnsi="Times New Roman" w:cs="Times New Roman"/>
          <w:i/>
          <w:color w:val="000000"/>
          <w:sz w:val="24"/>
          <w:szCs w:val="24"/>
        </w:rPr>
        <w:t>CONSER</w:t>
      </w:r>
      <w:r w:rsidR="002A0094">
        <w:rPr>
          <w:rFonts w:ascii="Times New Roman" w:eastAsia="Times New Roman" w:hAnsi="Times New Roman" w:cs="Times New Roman"/>
          <w:color w:val="000000"/>
          <w:sz w:val="24"/>
          <w:szCs w:val="24"/>
        </w:rPr>
        <w:t xml:space="preserve"> are negative and significant at the 5 percent level or better, suggesting a reduced analyst forecast dispersion for firms with higher joint effects of accounting conservatism and providing forward-looking information.</w:t>
      </w:r>
      <w:r w:rsidR="0066320E">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The joint effects of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and </w:t>
      </w:r>
      <w:r w:rsidR="005023BF" w:rsidRPr="00E07314">
        <w:rPr>
          <w:rFonts w:ascii="Times New Roman" w:eastAsia="Times New Roman" w:hAnsi="Times New Roman" w:cs="Times New Roman"/>
          <w:i/>
          <w:color w:val="000000"/>
          <w:sz w:val="24"/>
          <w:szCs w:val="24"/>
        </w:rPr>
        <w:t>CONSER</w:t>
      </w:r>
      <w:r w:rsidR="005023BF" w:rsidRPr="00E07314">
        <w:rPr>
          <w:rFonts w:ascii="Times New Roman" w:eastAsia="Times New Roman" w:hAnsi="Times New Roman" w:cs="Times New Roman"/>
          <w:color w:val="000000"/>
          <w:sz w:val="24"/>
          <w:szCs w:val="24"/>
        </w:rPr>
        <w:t xml:space="preserve"> are also economically significant.</w:t>
      </w:r>
      <w:r w:rsidR="005023BF">
        <w:rPr>
          <w:rFonts w:ascii="Times New Roman" w:eastAsia="Times New Roman" w:hAnsi="Times New Roman" w:cs="Times New Roman"/>
          <w:color w:val="000000"/>
          <w:sz w:val="24"/>
          <w:szCs w:val="24"/>
        </w:rPr>
        <w:t xml:space="preserve"> For example, an</w:t>
      </w:r>
      <w:r w:rsidR="005023BF" w:rsidRPr="00E07314">
        <w:rPr>
          <w:rFonts w:ascii="Times New Roman" w:eastAsia="Times New Roman" w:hAnsi="Times New Roman" w:cs="Times New Roman"/>
          <w:color w:val="000000"/>
          <w:sz w:val="24"/>
          <w:szCs w:val="24"/>
        </w:rPr>
        <w:t xml:space="preserve"> increase in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 </w:t>
      </w:r>
      <w:r w:rsidR="005023BF" w:rsidRPr="00E07314">
        <w:rPr>
          <w:rFonts w:ascii="Times New Roman" w:eastAsia="Times New Roman" w:hAnsi="Times New Roman" w:cs="Times New Roman"/>
          <w:i/>
          <w:color w:val="000000"/>
          <w:sz w:val="24"/>
          <w:szCs w:val="24"/>
        </w:rPr>
        <w:t>CONSER_PCA</w:t>
      </w:r>
      <w:r w:rsidR="005023BF">
        <w:rPr>
          <w:rFonts w:ascii="Times New Roman" w:eastAsia="Times New Roman" w:hAnsi="Times New Roman" w:cs="Times New Roman"/>
          <w:color w:val="000000"/>
          <w:sz w:val="24"/>
          <w:szCs w:val="24"/>
        </w:rPr>
        <w:t xml:space="preserve"> by one unit leads to a decrease </w:t>
      </w:r>
      <w:r w:rsidR="005023BF" w:rsidRPr="00E07314">
        <w:rPr>
          <w:rFonts w:ascii="Times New Roman" w:eastAsia="Times New Roman" w:hAnsi="Times New Roman" w:cs="Times New Roman"/>
          <w:color w:val="000000"/>
          <w:sz w:val="24"/>
          <w:szCs w:val="24"/>
        </w:rPr>
        <w:t xml:space="preserve">in the </w:t>
      </w:r>
      <w:r w:rsidR="005023BF">
        <w:rPr>
          <w:rFonts w:ascii="Times New Roman" w:eastAsia="Times New Roman" w:hAnsi="Times New Roman" w:cs="Times New Roman"/>
          <w:color w:val="000000"/>
          <w:sz w:val="24"/>
          <w:szCs w:val="24"/>
        </w:rPr>
        <w:t xml:space="preserve">differential </w:t>
      </w:r>
      <w:r w:rsidR="005023BF">
        <w:rPr>
          <w:rFonts w:ascii="Times New Roman" w:eastAsia="Times New Roman" w:hAnsi="Times New Roman" w:cs="Times New Roman"/>
          <w:i/>
          <w:color w:val="000000"/>
          <w:sz w:val="24"/>
          <w:szCs w:val="24"/>
        </w:rPr>
        <w:t>AFDISP</w:t>
      </w:r>
      <w:r w:rsidR="005023BF">
        <w:rPr>
          <w:rFonts w:ascii="Times New Roman" w:eastAsia="Times New Roman" w:hAnsi="Times New Roman" w:cs="Times New Roman"/>
          <w:color w:val="000000"/>
          <w:sz w:val="24"/>
          <w:szCs w:val="24"/>
        </w:rPr>
        <w:t xml:space="preserve"> between the top and bottom decile of </w:t>
      </w:r>
      <w:r w:rsidR="005023BF" w:rsidRPr="00E07314">
        <w:rPr>
          <w:rFonts w:ascii="Times New Roman" w:eastAsia="Times New Roman" w:hAnsi="Times New Roman" w:cs="Times New Roman"/>
          <w:color w:val="000000"/>
          <w:sz w:val="24"/>
          <w:szCs w:val="24"/>
        </w:rPr>
        <w:t xml:space="preserve">by </w:t>
      </w:r>
      <w:r w:rsidR="005023BF">
        <w:rPr>
          <w:rFonts w:ascii="Times New Roman" w:eastAsia="Times New Roman" w:hAnsi="Times New Roman" w:cs="Times New Roman"/>
          <w:color w:val="000000"/>
          <w:sz w:val="24"/>
          <w:szCs w:val="24"/>
        </w:rPr>
        <w:t>6.6</w:t>
      </w:r>
      <w:r w:rsidR="005023BF" w:rsidRPr="005023BF">
        <w:rPr>
          <w:rFonts w:ascii="Times New Roman" w:eastAsia="Times New Roman" w:hAnsi="Times New Roman" w:cs="Times New Roman"/>
          <w:color w:val="000000"/>
          <w:sz w:val="24"/>
          <w:szCs w:val="24"/>
        </w:rPr>
        <w:t xml:space="preserve"> </w:t>
      </w:r>
      <w:r w:rsidR="005023BF">
        <w:rPr>
          <w:rFonts w:ascii="Times New Roman" w:eastAsia="Times New Roman" w:hAnsi="Times New Roman" w:cs="Times New Roman"/>
          <w:color w:val="000000"/>
          <w:sz w:val="24"/>
          <w:szCs w:val="24"/>
        </w:rPr>
        <w:t xml:space="preserve">percent. </w:t>
      </w:r>
    </w:p>
    <w:p w14:paraId="0DEFFF11" w14:textId="40AD28CB" w:rsidR="00FC3CF3" w:rsidRDefault="0066320E" w:rsidP="00FC3CF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results in Table </w:t>
      </w:r>
      <w:r w:rsidR="005023BF">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rPr>
        <w:t xml:space="preserve">show that </w:t>
      </w:r>
      <w:r w:rsidR="00EF3605">
        <w:rPr>
          <w:rFonts w:ascii="Times New Roman" w:eastAsia="Times New Roman" w:hAnsi="Times New Roman" w:cs="Times New Roman"/>
          <w:color w:val="000000"/>
          <w:sz w:val="24"/>
          <w:szCs w:val="24"/>
        </w:rPr>
        <w:t>managers providing</w:t>
      </w:r>
      <w:r w:rsidR="00551799">
        <w:rPr>
          <w:rFonts w:ascii="Times New Roman" w:eastAsia="Times New Roman" w:hAnsi="Times New Roman" w:cs="Times New Roman"/>
          <w:color w:val="000000"/>
          <w:sz w:val="24"/>
          <w:szCs w:val="24"/>
        </w:rPr>
        <w:t xml:space="preserve"> more</w:t>
      </w:r>
      <w:r w:rsidR="00EF3605">
        <w:rPr>
          <w:rFonts w:ascii="Times New Roman" w:eastAsia="Times New Roman" w:hAnsi="Times New Roman" w:cs="Times New Roman"/>
          <w:color w:val="000000"/>
          <w:sz w:val="24"/>
          <w:szCs w:val="24"/>
        </w:rPr>
        <w:t xml:space="preserve"> forward-looking information about their firms that practices conservative accounting </w:t>
      </w:r>
      <w:r w:rsidR="00FC3CF3">
        <w:rPr>
          <w:rFonts w:ascii="Times New Roman" w:eastAsia="Times New Roman" w:hAnsi="Times New Roman" w:cs="Times New Roman"/>
          <w:color w:val="000000"/>
          <w:sz w:val="24"/>
          <w:szCs w:val="24"/>
        </w:rPr>
        <w:t>is</w:t>
      </w:r>
      <w:r w:rsidR="00551799">
        <w:rPr>
          <w:rFonts w:ascii="Times New Roman" w:eastAsia="Times New Roman" w:hAnsi="Times New Roman" w:cs="Times New Roman"/>
          <w:color w:val="000000"/>
          <w:sz w:val="24"/>
          <w:szCs w:val="24"/>
        </w:rPr>
        <w:t xml:space="preserve"> associated with smaller bid-ask spreads and more accurate and less dispersed analyst forecasts. Thus, the confirmation role provided by the joint effects from conservatism and forward-l</w:t>
      </w:r>
      <w:r w:rsidR="00A740C6">
        <w:rPr>
          <w:rFonts w:ascii="Times New Roman" w:eastAsia="Times New Roman" w:hAnsi="Times New Roman" w:cs="Times New Roman"/>
          <w:color w:val="000000"/>
          <w:sz w:val="24"/>
          <w:szCs w:val="24"/>
        </w:rPr>
        <w:t xml:space="preserve">ooking information increases </w:t>
      </w:r>
      <w:r w:rsidR="00551799">
        <w:rPr>
          <w:rFonts w:ascii="Times New Roman" w:eastAsia="Times New Roman" w:hAnsi="Times New Roman" w:cs="Times New Roman"/>
          <w:color w:val="000000"/>
          <w:sz w:val="24"/>
          <w:szCs w:val="24"/>
        </w:rPr>
        <w:t xml:space="preserve">mangers’ timely private information </w:t>
      </w:r>
      <w:r w:rsidR="005023BF">
        <w:rPr>
          <w:rFonts w:ascii="Times New Roman" w:eastAsia="Times New Roman" w:hAnsi="Times New Roman" w:cs="Times New Roman"/>
          <w:color w:val="000000"/>
          <w:sz w:val="24"/>
          <w:szCs w:val="24"/>
        </w:rPr>
        <w:t xml:space="preserve">to the market, leading to </w:t>
      </w:r>
      <w:r w:rsidR="00A740C6">
        <w:rPr>
          <w:rFonts w:ascii="Times New Roman" w:eastAsia="Times New Roman" w:hAnsi="Times New Roman" w:cs="Times New Roman"/>
          <w:color w:val="000000"/>
          <w:sz w:val="24"/>
          <w:szCs w:val="24"/>
        </w:rPr>
        <w:t>reduce</w:t>
      </w:r>
      <w:r w:rsidR="005023BF">
        <w:rPr>
          <w:rFonts w:ascii="Times New Roman" w:eastAsia="Times New Roman" w:hAnsi="Times New Roman" w:cs="Times New Roman"/>
          <w:color w:val="000000"/>
          <w:sz w:val="24"/>
          <w:szCs w:val="24"/>
        </w:rPr>
        <w:t>d</w:t>
      </w:r>
      <w:r w:rsidR="00A740C6">
        <w:rPr>
          <w:rFonts w:ascii="Times New Roman" w:eastAsia="Times New Roman" w:hAnsi="Times New Roman" w:cs="Times New Roman"/>
          <w:color w:val="000000"/>
          <w:sz w:val="24"/>
          <w:szCs w:val="24"/>
        </w:rPr>
        <w:t xml:space="preserve"> information uncertainty</w:t>
      </w:r>
      <w:r w:rsidR="005023BF">
        <w:rPr>
          <w:rFonts w:ascii="Times New Roman" w:eastAsia="Times New Roman" w:hAnsi="Times New Roman" w:cs="Times New Roman"/>
          <w:color w:val="000000"/>
          <w:sz w:val="24"/>
          <w:szCs w:val="24"/>
        </w:rPr>
        <w:t xml:space="preserve"> and improved</w:t>
      </w:r>
      <w:r w:rsidR="00A740C6">
        <w:rPr>
          <w:rFonts w:ascii="Times New Roman" w:eastAsia="Times New Roman" w:hAnsi="Times New Roman" w:cs="Times New Roman"/>
          <w:color w:val="000000"/>
          <w:sz w:val="24"/>
          <w:szCs w:val="24"/>
        </w:rPr>
        <w:t xml:space="preserve"> firm information environment.</w:t>
      </w:r>
      <w:r w:rsidR="00DF1F72">
        <w:rPr>
          <w:rFonts w:ascii="Times New Roman" w:eastAsia="Times New Roman" w:hAnsi="Times New Roman" w:cs="Times New Roman"/>
          <w:color w:val="000000"/>
          <w:sz w:val="24"/>
          <w:szCs w:val="24"/>
        </w:rPr>
        <w:t xml:space="preserve"> We also investigate which part of the managerial forward-looking disclosure drive</w:t>
      </w:r>
      <w:r w:rsidR="00FC3CF3">
        <w:rPr>
          <w:rFonts w:ascii="Times New Roman" w:eastAsia="Times New Roman" w:hAnsi="Times New Roman" w:cs="Times New Roman"/>
          <w:color w:val="000000"/>
          <w:sz w:val="24"/>
          <w:szCs w:val="24"/>
        </w:rPr>
        <w:t>s</w:t>
      </w:r>
      <w:r w:rsidR="00DF1F72">
        <w:rPr>
          <w:rFonts w:ascii="Times New Roman" w:eastAsia="Times New Roman" w:hAnsi="Times New Roman" w:cs="Times New Roman"/>
          <w:color w:val="000000"/>
          <w:sz w:val="24"/>
          <w:szCs w:val="24"/>
        </w:rPr>
        <w:t xml:space="preserve"> the observed results, presentation</w:t>
      </w:r>
      <w:r w:rsidR="00FC3CF3">
        <w:rPr>
          <w:rFonts w:ascii="Times New Roman" w:eastAsia="Times New Roman" w:hAnsi="Times New Roman" w:cs="Times New Roman"/>
          <w:color w:val="000000"/>
          <w:sz w:val="24"/>
          <w:szCs w:val="24"/>
        </w:rPr>
        <w:t xml:space="preserve"> in the call,</w:t>
      </w:r>
      <w:r w:rsidR="00DF1F72">
        <w:rPr>
          <w:rFonts w:ascii="Times New Roman" w:eastAsia="Times New Roman" w:hAnsi="Times New Roman" w:cs="Times New Roman"/>
          <w:color w:val="000000"/>
          <w:sz w:val="24"/>
          <w:szCs w:val="24"/>
        </w:rPr>
        <w:t xml:space="preserve"> or answers to analysts’ questions. Therefore, we split </w:t>
      </w:r>
      <w:r w:rsidR="00DF1F72" w:rsidRPr="00DF1F72">
        <w:rPr>
          <w:rFonts w:ascii="Times New Roman" w:eastAsia="Times New Roman" w:hAnsi="Times New Roman" w:cs="Times New Roman"/>
          <w:i/>
          <w:color w:val="000000"/>
          <w:sz w:val="24"/>
          <w:szCs w:val="24"/>
        </w:rPr>
        <w:t>FWDLOOK</w:t>
      </w:r>
      <w:r w:rsidR="00DF1F72">
        <w:rPr>
          <w:rFonts w:ascii="Times New Roman" w:eastAsia="Times New Roman" w:hAnsi="Times New Roman" w:cs="Times New Roman"/>
          <w:color w:val="000000"/>
          <w:sz w:val="24"/>
          <w:szCs w:val="24"/>
        </w:rPr>
        <w:t xml:space="preserve"> into the presentation versus response components and estimate the relation between change in </w:t>
      </w:r>
      <w:r w:rsidR="00DF1F72" w:rsidRPr="00DF1F72">
        <w:rPr>
          <w:rFonts w:ascii="Times New Roman" w:eastAsia="Times New Roman" w:hAnsi="Times New Roman" w:cs="Times New Roman"/>
          <w:i/>
          <w:color w:val="000000"/>
          <w:sz w:val="24"/>
          <w:szCs w:val="24"/>
        </w:rPr>
        <w:t>SPREAD</w:t>
      </w:r>
      <w:r w:rsidR="00DF1F72">
        <w:rPr>
          <w:rFonts w:ascii="Times New Roman" w:eastAsia="Times New Roman" w:hAnsi="Times New Roman" w:cs="Times New Roman"/>
          <w:color w:val="000000"/>
          <w:sz w:val="24"/>
          <w:szCs w:val="24"/>
        </w:rPr>
        <w:t xml:space="preserve"> and the interaction between each component and conservatism separately</w:t>
      </w:r>
      <w:r w:rsidR="00FC3CF3">
        <w:rPr>
          <w:rFonts w:ascii="Times New Roman" w:eastAsia="Times New Roman" w:hAnsi="Times New Roman" w:cs="Times New Roman"/>
          <w:color w:val="000000"/>
          <w:sz w:val="24"/>
          <w:szCs w:val="24"/>
        </w:rPr>
        <w:t xml:space="preserve"> (</w:t>
      </w:r>
      <w:proofErr w:type="spellStart"/>
      <w:r w:rsidR="00FC3CF3">
        <w:rPr>
          <w:rFonts w:ascii="Times New Roman" w:eastAsia="Times New Roman" w:hAnsi="Times New Roman" w:cs="Times New Roman"/>
          <w:color w:val="000000"/>
          <w:sz w:val="24"/>
          <w:szCs w:val="24"/>
        </w:rPr>
        <w:t>untabulated</w:t>
      </w:r>
      <w:proofErr w:type="spellEnd"/>
      <w:r w:rsidR="00FC3CF3">
        <w:rPr>
          <w:rFonts w:ascii="Times New Roman" w:eastAsia="Times New Roman" w:hAnsi="Times New Roman" w:cs="Times New Roman"/>
          <w:color w:val="000000"/>
          <w:sz w:val="24"/>
          <w:szCs w:val="24"/>
        </w:rPr>
        <w:t>)</w:t>
      </w:r>
      <w:r w:rsidR="00DF1F72">
        <w:rPr>
          <w:rFonts w:ascii="Times New Roman" w:eastAsia="Times New Roman" w:hAnsi="Times New Roman" w:cs="Times New Roman"/>
          <w:color w:val="000000"/>
          <w:sz w:val="24"/>
          <w:szCs w:val="24"/>
        </w:rPr>
        <w:t xml:space="preserve">. We find that while both the interaction items are associated with </w:t>
      </w:r>
      <w:r w:rsidR="00FC3CF3">
        <w:rPr>
          <w:rFonts w:ascii="Times New Roman" w:eastAsia="Times New Roman" w:hAnsi="Times New Roman" w:cs="Times New Roman"/>
          <w:color w:val="000000"/>
          <w:sz w:val="24"/>
          <w:szCs w:val="24"/>
        </w:rPr>
        <w:t xml:space="preserve">a reduced </w:t>
      </w:r>
      <w:r w:rsidR="00FC3CF3" w:rsidRPr="00FC3CF3">
        <w:rPr>
          <w:rFonts w:ascii="Times New Roman" w:eastAsia="Times New Roman" w:hAnsi="Times New Roman" w:cs="Times New Roman"/>
          <w:i/>
          <w:color w:val="000000"/>
          <w:sz w:val="24"/>
          <w:szCs w:val="24"/>
        </w:rPr>
        <w:t>SPREAD</w:t>
      </w:r>
      <w:r w:rsidR="00FC3CF3">
        <w:rPr>
          <w:rFonts w:ascii="Times New Roman" w:eastAsia="Times New Roman" w:hAnsi="Times New Roman" w:cs="Times New Roman"/>
          <w:color w:val="000000"/>
          <w:sz w:val="24"/>
          <w:szCs w:val="24"/>
        </w:rPr>
        <w:t xml:space="preserve">, the coefficient for the interaction between managerial responses and conservatism is more pronounced, consistent with managers’ providing more private, truthful information about the firm future performance in their responses to analysts’ questions during the Q&amp;As. </w:t>
      </w:r>
    </w:p>
    <w:p w14:paraId="4E02CF4F" w14:textId="77777777" w:rsidR="002E317E" w:rsidRDefault="002E317E" w:rsidP="00FC3CF3">
      <w:pPr>
        <w:spacing w:line="480" w:lineRule="auto"/>
        <w:ind w:firstLine="720"/>
        <w:contextualSpacing/>
        <w:jc w:val="both"/>
        <w:rPr>
          <w:rFonts w:ascii="Times New Roman" w:eastAsia="Times New Roman" w:hAnsi="Times New Roman" w:cs="Times New Roman"/>
          <w:color w:val="000000"/>
          <w:sz w:val="24"/>
          <w:szCs w:val="24"/>
        </w:rPr>
      </w:pPr>
    </w:p>
    <w:p w14:paraId="221EBF2F" w14:textId="11A18D01" w:rsidR="002E317E" w:rsidRPr="00A10528" w:rsidRDefault="002E317E" w:rsidP="002E317E">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4.</w:t>
      </w:r>
      <w:r w:rsidR="008972C5">
        <w:rPr>
          <w:rFonts w:ascii="Times New Roman" w:hAnsi="Times New Roman" w:cs="Times New Roman"/>
          <w:b/>
          <w:i/>
          <w:sz w:val="24"/>
          <w:szCs w:val="24"/>
        </w:rPr>
        <w:t>1</w:t>
      </w:r>
      <w:r>
        <w:rPr>
          <w:rFonts w:ascii="Times New Roman" w:hAnsi="Times New Roman" w:cs="Times New Roman"/>
          <w:b/>
          <w:i/>
          <w:sz w:val="24"/>
          <w:szCs w:val="24"/>
        </w:rPr>
        <w:t xml:space="preserve">.2 </w:t>
      </w:r>
      <w:r w:rsidRPr="00A10528">
        <w:rPr>
          <w:rFonts w:ascii="Times New Roman" w:hAnsi="Times New Roman" w:cs="Times New Roman"/>
          <w:b/>
          <w:i/>
          <w:sz w:val="24"/>
          <w:szCs w:val="24"/>
        </w:rPr>
        <w:t xml:space="preserve">Endogeneity </w:t>
      </w:r>
    </w:p>
    <w:p w14:paraId="6C75BE46" w14:textId="7BDF8CF9" w:rsidR="00C175AE" w:rsidRDefault="002E317E" w:rsidP="002E3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Thus far, w</w:t>
      </w:r>
      <w:r w:rsidRPr="00BE4149">
        <w:rPr>
          <w:rFonts w:ascii="Times New Roman" w:hAnsi="Times New Roman" w:cs="Times New Roman"/>
          <w:sz w:val="24"/>
          <w:szCs w:val="24"/>
        </w:rPr>
        <w:t xml:space="preserve">e </w:t>
      </w:r>
      <w:r>
        <w:rPr>
          <w:rFonts w:ascii="Times New Roman" w:hAnsi="Times New Roman" w:cs="Times New Roman"/>
          <w:sz w:val="24"/>
          <w:szCs w:val="24"/>
        </w:rPr>
        <w:t xml:space="preserve">observe </w:t>
      </w:r>
      <w:r w:rsidRPr="00BE4149">
        <w:rPr>
          <w:rFonts w:ascii="Times New Roman" w:hAnsi="Times New Roman" w:cs="Times New Roman"/>
          <w:sz w:val="24"/>
          <w:szCs w:val="24"/>
        </w:rPr>
        <w:t xml:space="preserve">a strong association </w:t>
      </w:r>
      <w:r>
        <w:rPr>
          <w:rFonts w:ascii="Times New Roman" w:hAnsi="Times New Roman" w:cs="Times New Roman"/>
          <w:sz w:val="24"/>
          <w:szCs w:val="24"/>
        </w:rPr>
        <w:t>between</w:t>
      </w:r>
      <w:r w:rsidRPr="00BE4149">
        <w:rPr>
          <w:rFonts w:ascii="Times New Roman" w:hAnsi="Times New Roman" w:cs="Times New Roman"/>
          <w:sz w:val="24"/>
          <w:szCs w:val="24"/>
        </w:rPr>
        <w:t xml:space="preserve"> the in</w:t>
      </w:r>
      <w:r>
        <w:rPr>
          <w:rFonts w:ascii="Times New Roman" w:hAnsi="Times New Roman" w:cs="Times New Roman"/>
          <w:sz w:val="24"/>
          <w:szCs w:val="24"/>
        </w:rPr>
        <w:t>teraction of managerial forward-</w:t>
      </w:r>
      <w:r w:rsidRPr="00BE4149">
        <w:rPr>
          <w:rFonts w:ascii="Times New Roman" w:hAnsi="Times New Roman" w:cs="Times New Roman"/>
          <w:sz w:val="24"/>
          <w:szCs w:val="24"/>
        </w:rPr>
        <w:t xml:space="preserve">looking disclosure </w:t>
      </w:r>
      <w:r>
        <w:rPr>
          <w:rFonts w:ascii="Times New Roman" w:hAnsi="Times New Roman" w:cs="Times New Roman"/>
          <w:sz w:val="24"/>
          <w:szCs w:val="24"/>
        </w:rPr>
        <w:t xml:space="preserve">in earnings conference calls </w:t>
      </w:r>
      <w:r w:rsidRPr="00BE4149">
        <w:rPr>
          <w:rFonts w:ascii="Times New Roman" w:hAnsi="Times New Roman" w:cs="Times New Roman"/>
          <w:sz w:val="24"/>
          <w:szCs w:val="24"/>
        </w:rPr>
        <w:t xml:space="preserve">and accounting conservatism </w:t>
      </w:r>
      <w:r>
        <w:rPr>
          <w:rFonts w:ascii="Times New Roman" w:hAnsi="Times New Roman" w:cs="Times New Roman"/>
          <w:sz w:val="24"/>
          <w:szCs w:val="24"/>
        </w:rPr>
        <w:t>with the improved</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firm information environment. </w:t>
      </w:r>
      <w:r w:rsidR="007708C2">
        <w:rPr>
          <w:rFonts w:ascii="Times New Roman" w:hAnsi="Times New Roman" w:cs="Times New Roman"/>
          <w:sz w:val="24"/>
          <w:szCs w:val="24"/>
        </w:rPr>
        <w:t>Further</w:t>
      </w:r>
      <w:r>
        <w:rPr>
          <w:rFonts w:ascii="Times New Roman" w:hAnsi="Times New Roman" w:cs="Times New Roman"/>
          <w:sz w:val="24"/>
          <w:szCs w:val="24"/>
        </w:rPr>
        <w:t>, we investigate</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the potential impact of </w:t>
      </w:r>
      <w:r w:rsidRPr="00BE4149">
        <w:rPr>
          <w:rFonts w:ascii="Times New Roman" w:hAnsi="Times New Roman" w:cs="Times New Roman"/>
          <w:sz w:val="24"/>
          <w:szCs w:val="24"/>
        </w:rPr>
        <w:t xml:space="preserve">two types of endogeneity: </w:t>
      </w:r>
      <w:r>
        <w:rPr>
          <w:rFonts w:ascii="Times New Roman" w:hAnsi="Times New Roman" w:cs="Times New Roman"/>
          <w:sz w:val="24"/>
          <w:szCs w:val="24"/>
        </w:rPr>
        <w:t xml:space="preserve">reverse causality </w:t>
      </w:r>
      <w:r w:rsidRPr="00BE4149">
        <w:rPr>
          <w:rFonts w:ascii="Times New Roman" w:hAnsi="Times New Roman" w:cs="Times New Roman"/>
          <w:sz w:val="24"/>
          <w:szCs w:val="24"/>
        </w:rPr>
        <w:t xml:space="preserve">and omitted variables. In </w:t>
      </w:r>
      <w:r>
        <w:rPr>
          <w:rFonts w:ascii="Times New Roman" w:hAnsi="Times New Roman" w:cs="Times New Roman"/>
          <w:sz w:val="24"/>
          <w:szCs w:val="24"/>
        </w:rPr>
        <w:t xml:space="preserve">our </w:t>
      </w:r>
      <w:r w:rsidRPr="00BE4149">
        <w:rPr>
          <w:rFonts w:ascii="Times New Roman" w:hAnsi="Times New Roman" w:cs="Times New Roman"/>
          <w:sz w:val="24"/>
          <w:szCs w:val="24"/>
        </w:rPr>
        <w:t xml:space="preserve">setting, </w:t>
      </w:r>
      <w:r>
        <w:rPr>
          <w:rFonts w:ascii="Times New Roman" w:hAnsi="Times New Roman" w:cs="Times New Roman"/>
          <w:sz w:val="24"/>
          <w:szCs w:val="24"/>
        </w:rPr>
        <w:t xml:space="preserve">reverse causality would imply that </w:t>
      </w:r>
      <w:r w:rsidRPr="00BE4149">
        <w:rPr>
          <w:rFonts w:ascii="Times New Roman" w:hAnsi="Times New Roman" w:cs="Times New Roman"/>
          <w:sz w:val="24"/>
          <w:szCs w:val="24"/>
        </w:rPr>
        <w:t xml:space="preserve">firms </w:t>
      </w:r>
      <w:r>
        <w:rPr>
          <w:rFonts w:ascii="Times New Roman" w:hAnsi="Times New Roman" w:cs="Times New Roman"/>
          <w:sz w:val="24"/>
          <w:szCs w:val="24"/>
        </w:rPr>
        <w:t xml:space="preserve">with superior information environments </w:t>
      </w:r>
      <w:r w:rsidRPr="00BE4149">
        <w:rPr>
          <w:rFonts w:ascii="Times New Roman" w:hAnsi="Times New Roman" w:cs="Times New Roman"/>
          <w:sz w:val="24"/>
          <w:szCs w:val="24"/>
        </w:rPr>
        <w:t xml:space="preserve">choose to </w:t>
      </w:r>
      <w:r>
        <w:rPr>
          <w:rFonts w:ascii="Times New Roman" w:hAnsi="Times New Roman" w:cs="Times New Roman"/>
          <w:sz w:val="24"/>
          <w:szCs w:val="24"/>
        </w:rPr>
        <w:t>make more forward-</w:t>
      </w:r>
      <w:r w:rsidRPr="00BE4149">
        <w:rPr>
          <w:rFonts w:ascii="Times New Roman" w:hAnsi="Times New Roman" w:cs="Times New Roman"/>
          <w:sz w:val="24"/>
          <w:szCs w:val="24"/>
        </w:rPr>
        <w:t xml:space="preserve">looking </w:t>
      </w:r>
      <w:r>
        <w:rPr>
          <w:rFonts w:ascii="Times New Roman" w:hAnsi="Times New Roman" w:cs="Times New Roman"/>
          <w:sz w:val="24"/>
          <w:szCs w:val="24"/>
        </w:rPr>
        <w:t xml:space="preserve">projections </w:t>
      </w:r>
      <w:r w:rsidRPr="00BE4149">
        <w:rPr>
          <w:rFonts w:ascii="Times New Roman" w:hAnsi="Times New Roman" w:cs="Times New Roman"/>
          <w:sz w:val="24"/>
          <w:szCs w:val="24"/>
        </w:rPr>
        <w:t xml:space="preserve">and </w:t>
      </w:r>
      <w:r>
        <w:rPr>
          <w:rFonts w:ascii="Times New Roman" w:hAnsi="Times New Roman" w:cs="Times New Roman"/>
          <w:sz w:val="24"/>
          <w:szCs w:val="24"/>
        </w:rPr>
        <w:t xml:space="preserve">to report more </w:t>
      </w:r>
      <w:r w:rsidRPr="00BE4149">
        <w:rPr>
          <w:rFonts w:ascii="Times New Roman" w:hAnsi="Times New Roman" w:cs="Times New Roman"/>
          <w:sz w:val="24"/>
          <w:szCs w:val="24"/>
        </w:rPr>
        <w:t>conservative accounting</w:t>
      </w:r>
      <w:r>
        <w:rPr>
          <w:rFonts w:ascii="Times New Roman" w:hAnsi="Times New Roman" w:cs="Times New Roman"/>
          <w:sz w:val="24"/>
          <w:szCs w:val="24"/>
        </w:rPr>
        <w:t xml:space="preserve"> numbers</w:t>
      </w:r>
      <w:r w:rsidRPr="00BE4149">
        <w:rPr>
          <w:rFonts w:ascii="Times New Roman" w:hAnsi="Times New Roman" w:cs="Times New Roman"/>
          <w:sz w:val="24"/>
          <w:szCs w:val="24"/>
        </w:rPr>
        <w:t xml:space="preserve">. The omitted variable concern is that </w:t>
      </w:r>
      <w:r>
        <w:rPr>
          <w:rFonts w:ascii="Times New Roman" w:hAnsi="Times New Roman" w:cs="Times New Roman"/>
          <w:sz w:val="24"/>
          <w:szCs w:val="24"/>
        </w:rPr>
        <w:t>our</w:t>
      </w:r>
      <w:r w:rsidRPr="00BE4149">
        <w:rPr>
          <w:rFonts w:ascii="Times New Roman" w:hAnsi="Times New Roman" w:cs="Times New Roman"/>
          <w:sz w:val="24"/>
          <w:szCs w:val="24"/>
        </w:rPr>
        <w:t xml:space="preserve"> results </w:t>
      </w:r>
      <w:r>
        <w:rPr>
          <w:rFonts w:ascii="Times New Roman" w:hAnsi="Times New Roman" w:cs="Times New Roman"/>
          <w:sz w:val="24"/>
          <w:szCs w:val="24"/>
        </w:rPr>
        <w:t>with</w:t>
      </w:r>
      <w:r w:rsidRPr="00BE4149">
        <w:rPr>
          <w:rFonts w:ascii="Times New Roman" w:hAnsi="Times New Roman" w:cs="Times New Roman"/>
          <w:sz w:val="24"/>
          <w:szCs w:val="24"/>
        </w:rPr>
        <w:t xml:space="preserve"> respect to </w:t>
      </w:r>
      <w:r>
        <w:rPr>
          <w:rFonts w:ascii="Times New Roman" w:hAnsi="Times New Roman" w:cs="Times New Roman"/>
          <w:sz w:val="24"/>
          <w:szCs w:val="24"/>
        </w:rPr>
        <w:t xml:space="preserve">improved firm </w:t>
      </w:r>
      <w:r w:rsidRPr="00BE4149">
        <w:rPr>
          <w:rFonts w:ascii="Times New Roman" w:hAnsi="Times New Roman" w:cs="Times New Roman"/>
          <w:sz w:val="24"/>
          <w:szCs w:val="24"/>
        </w:rPr>
        <w:t>information environment can be explained by an omitted variable correlated with accounting conservatism that is a</w:t>
      </w:r>
      <w:r>
        <w:rPr>
          <w:rFonts w:ascii="Times New Roman" w:hAnsi="Times New Roman" w:cs="Times New Roman"/>
          <w:sz w:val="24"/>
          <w:szCs w:val="24"/>
        </w:rPr>
        <w:t>mplifying the effect of forward-</w:t>
      </w:r>
      <w:r w:rsidRPr="00BE4149">
        <w:rPr>
          <w:rFonts w:ascii="Times New Roman" w:hAnsi="Times New Roman" w:cs="Times New Roman"/>
          <w:sz w:val="24"/>
          <w:szCs w:val="24"/>
        </w:rPr>
        <w:t xml:space="preserve">looking information on </w:t>
      </w:r>
      <w:r>
        <w:rPr>
          <w:rFonts w:ascii="Times New Roman" w:hAnsi="Times New Roman" w:cs="Times New Roman"/>
          <w:sz w:val="24"/>
          <w:szCs w:val="24"/>
        </w:rPr>
        <w:t xml:space="preserve">the </w:t>
      </w:r>
      <w:r w:rsidRPr="00BE4149">
        <w:rPr>
          <w:rFonts w:ascii="Times New Roman" w:hAnsi="Times New Roman" w:cs="Times New Roman"/>
          <w:sz w:val="24"/>
          <w:szCs w:val="24"/>
        </w:rPr>
        <w:t xml:space="preserve">information environment. </w:t>
      </w:r>
      <w:r>
        <w:rPr>
          <w:rFonts w:ascii="Times New Roman" w:hAnsi="Times New Roman" w:cs="Times New Roman"/>
          <w:sz w:val="24"/>
          <w:szCs w:val="24"/>
        </w:rPr>
        <w:t xml:space="preserve">We address these </w:t>
      </w:r>
      <w:r w:rsidRPr="00BE4149">
        <w:rPr>
          <w:rFonts w:ascii="Times New Roman" w:hAnsi="Times New Roman" w:cs="Times New Roman"/>
          <w:sz w:val="24"/>
          <w:szCs w:val="24"/>
        </w:rPr>
        <w:t>concerns below.</w:t>
      </w:r>
    </w:p>
    <w:p w14:paraId="171B5D1C" w14:textId="77777777" w:rsidR="00C175AE" w:rsidRDefault="00C175AE" w:rsidP="002E317E">
      <w:pPr>
        <w:rPr>
          <w:rFonts w:ascii="Times New Roman" w:hAnsi="Times New Roman" w:cs="Times New Roman"/>
          <w:b/>
          <w:i/>
          <w:sz w:val="24"/>
          <w:szCs w:val="24"/>
        </w:rPr>
      </w:pPr>
    </w:p>
    <w:p w14:paraId="5F5AFC5D" w14:textId="19596F9B"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Reverse Causality </w:t>
      </w:r>
    </w:p>
    <w:p w14:paraId="40907312" w14:textId="77777777" w:rsidR="002E317E" w:rsidRPr="009B296C" w:rsidRDefault="002E317E" w:rsidP="002E317E">
      <w:pPr>
        <w:jc w:val="both"/>
        <w:rPr>
          <w:rFonts w:ascii="Times New Roman" w:hAnsi="Times New Roman" w:cs="Times New Roman"/>
          <w:b/>
          <w:iCs/>
          <w:sz w:val="24"/>
          <w:szCs w:val="24"/>
        </w:rPr>
      </w:pPr>
    </w:p>
    <w:p w14:paraId="009B59FA" w14:textId="6D3056AA"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B296C">
        <w:rPr>
          <w:rFonts w:ascii="Times New Roman" w:eastAsia="Times New Roman" w:hAnsi="Times New Roman" w:cs="Times New Roman"/>
          <w:iCs/>
          <w:color w:val="000000"/>
          <w:sz w:val="24"/>
          <w:szCs w:val="24"/>
        </w:rPr>
        <w:t xml:space="preserve">To mitigate the </w:t>
      </w:r>
      <w:r>
        <w:rPr>
          <w:rFonts w:ascii="Times New Roman" w:eastAsia="Times New Roman" w:hAnsi="Times New Roman" w:cs="Times New Roman"/>
          <w:iCs/>
          <w:color w:val="000000"/>
          <w:sz w:val="24"/>
          <w:szCs w:val="24"/>
        </w:rPr>
        <w:t xml:space="preserve">potential </w:t>
      </w:r>
      <w:r w:rsidRPr="009B296C">
        <w:rPr>
          <w:rFonts w:ascii="Times New Roman" w:eastAsia="Times New Roman" w:hAnsi="Times New Roman" w:cs="Times New Roman"/>
          <w:iCs/>
          <w:color w:val="000000"/>
          <w:sz w:val="24"/>
          <w:szCs w:val="24"/>
        </w:rPr>
        <w:t xml:space="preserve">concern that </w:t>
      </w:r>
      <w:r>
        <w:rPr>
          <w:rFonts w:ascii="Times New Roman" w:eastAsia="Times New Roman" w:hAnsi="Times New Roman" w:cs="Times New Roman"/>
          <w:iCs/>
          <w:color w:val="000000"/>
          <w:sz w:val="24"/>
          <w:szCs w:val="24"/>
        </w:rPr>
        <w:t xml:space="preserve">firms with pre-existing superior information environment </w:t>
      </w:r>
      <w:r w:rsidRPr="009B296C">
        <w:rPr>
          <w:rFonts w:ascii="Times New Roman" w:eastAsia="Times New Roman" w:hAnsi="Times New Roman" w:cs="Times New Roman"/>
          <w:iCs/>
          <w:color w:val="000000"/>
          <w:sz w:val="24"/>
          <w:szCs w:val="24"/>
        </w:rPr>
        <w:t xml:space="preserve">select to provide more forward-looking information </w:t>
      </w:r>
      <w:r>
        <w:rPr>
          <w:rFonts w:ascii="Times New Roman" w:eastAsia="Times New Roman" w:hAnsi="Times New Roman" w:cs="Times New Roman"/>
          <w:iCs/>
          <w:color w:val="000000"/>
          <w:sz w:val="24"/>
          <w:szCs w:val="24"/>
        </w:rPr>
        <w:t>through</w:t>
      </w:r>
      <w:r w:rsidRPr="009B296C">
        <w:rPr>
          <w:rFonts w:ascii="Times New Roman" w:eastAsia="Times New Roman" w:hAnsi="Times New Roman" w:cs="Times New Roman"/>
          <w:iCs/>
          <w:color w:val="000000"/>
          <w:sz w:val="24"/>
          <w:szCs w:val="24"/>
        </w:rPr>
        <w:t xml:space="preserve"> the conference calls and </w:t>
      </w:r>
      <w:r>
        <w:rPr>
          <w:rFonts w:ascii="Times New Roman" w:eastAsia="Times New Roman" w:hAnsi="Times New Roman" w:cs="Times New Roman"/>
          <w:iCs/>
          <w:color w:val="000000"/>
          <w:sz w:val="24"/>
          <w:szCs w:val="24"/>
        </w:rPr>
        <w:t xml:space="preserve">choose more </w:t>
      </w:r>
      <w:r w:rsidRPr="009B296C">
        <w:rPr>
          <w:rFonts w:ascii="Times New Roman" w:eastAsia="Times New Roman" w:hAnsi="Times New Roman" w:cs="Times New Roman"/>
          <w:iCs/>
          <w:color w:val="000000"/>
          <w:sz w:val="24"/>
          <w:szCs w:val="24"/>
        </w:rPr>
        <w:t xml:space="preserve">conservative </w:t>
      </w:r>
      <w:r>
        <w:rPr>
          <w:rFonts w:ascii="Times New Roman" w:eastAsia="Times New Roman" w:hAnsi="Times New Roman" w:cs="Times New Roman"/>
          <w:iCs/>
          <w:color w:val="000000"/>
          <w:sz w:val="24"/>
          <w:szCs w:val="24"/>
        </w:rPr>
        <w:t>reporting</w:t>
      </w:r>
      <w:r w:rsidRPr="009B296C">
        <w:rPr>
          <w:rFonts w:ascii="Times New Roman" w:eastAsia="Times New Roman" w:hAnsi="Times New Roman" w:cs="Times New Roman"/>
          <w:iCs/>
          <w:color w:val="000000"/>
          <w:sz w:val="24"/>
          <w:szCs w:val="24"/>
        </w:rPr>
        <w:t xml:space="preserve"> (i.e., reverse causality),</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we </w:t>
      </w:r>
      <w:r>
        <w:rPr>
          <w:rFonts w:ascii="Times New Roman" w:eastAsia="Times New Roman" w:hAnsi="Times New Roman" w:cs="Times New Roman"/>
          <w:iCs/>
          <w:color w:val="000000"/>
          <w:sz w:val="24"/>
          <w:szCs w:val="24"/>
        </w:rPr>
        <w:t xml:space="preserve">perform the following analysis. We </w:t>
      </w:r>
      <w:r w:rsidRPr="009B296C">
        <w:rPr>
          <w:rFonts w:ascii="Times New Roman" w:eastAsia="Times New Roman" w:hAnsi="Times New Roman" w:cs="Times New Roman"/>
          <w:iCs/>
          <w:color w:val="000000"/>
          <w:sz w:val="24"/>
          <w:szCs w:val="24"/>
        </w:rPr>
        <w:t xml:space="preserve">control for lagged </w:t>
      </w:r>
      <w:r>
        <w:rPr>
          <w:rFonts w:ascii="Times New Roman" w:eastAsia="Times New Roman" w:hAnsi="Times New Roman" w:cs="Times New Roman"/>
          <w:iCs/>
          <w:color w:val="000000"/>
          <w:sz w:val="24"/>
          <w:szCs w:val="24"/>
        </w:rPr>
        <w:t xml:space="preserve">firm information environment </w:t>
      </w:r>
      <w:r w:rsidRPr="009B296C">
        <w:rPr>
          <w:rFonts w:ascii="Times New Roman" w:eastAsia="Times New Roman" w:hAnsi="Times New Roman" w:cs="Times New Roman"/>
          <w:iCs/>
          <w:color w:val="000000"/>
          <w:sz w:val="24"/>
          <w:szCs w:val="24"/>
        </w:rPr>
        <w:t xml:space="preserve">in order to tease out a time-series relationship between </w:t>
      </w:r>
      <w:r w:rsidRPr="009B296C">
        <w:rPr>
          <w:rFonts w:ascii="Times New Roman" w:eastAsia="Times New Roman" w:hAnsi="Times New Roman" w:cs="Times New Roman"/>
          <w:i/>
          <w:color w:val="000000"/>
          <w:sz w:val="24"/>
          <w:szCs w:val="24"/>
        </w:rPr>
        <w:t>past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information environment</w:t>
      </w:r>
      <w:r w:rsidRPr="009B296C">
        <w:rPr>
          <w:rFonts w:ascii="Times New Roman" w:eastAsia="Times New Roman" w:hAnsi="Times New Roman" w:cs="Times New Roman"/>
          <w:iCs/>
          <w:color w:val="000000"/>
          <w:sz w:val="24"/>
          <w:szCs w:val="24"/>
        </w:rPr>
        <w:t xml:space="preserve"> and </w:t>
      </w:r>
      <w:r w:rsidRPr="006C499E">
        <w:rPr>
          <w:rFonts w:ascii="Times New Roman" w:eastAsia="Times New Roman" w:hAnsi="Times New Roman" w:cs="Times New Roman"/>
          <w:i/>
          <w:iCs/>
          <w:color w:val="000000"/>
          <w:sz w:val="24"/>
          <w:szCs w:val="24"/>
        </w:rPr>
        <w:t>current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forward-looking information </w:t>
      </w:r>
      <w:r w:rsidRPr="009B296C">
        <w:rPr>
          <w:rFonts w:ascii="Times New Roman" w:eastAsia="Times New Roman" w:hAnsi="Times New Roman" w:cs="Times New Roman"/>
          <w:iCs/>
          <w:color w:val="000000"/>
          <w:sz w:val="24"/>
          <w:szCs w:val="24"/>
        </w:rPr>
        <w:t xml:space="preserve">and a time-series relationship between past and future </w:t>
      </w:r>
      <w:r>
        <w:rPr>
          <w:rFonts w:ascii="Times New Roman" w:eastAsia="Times New Roman" w:hAnsi="Times New Roman" w:cs="Times New Roman"/>
          <w:iCs/>
          <w:color w:val="000000"/>
          <w:sz w:val="24"/>
          <w:szCs w:val="24"/>
        </w:rPr>
        <w:t xml:space="preserve">information environment </w:t>
      </w:r>
      <w:r w:rsidRPr="009B296C">
        <w:rPr>
          <w:rFonts w:ascii="Times New Roman" w:eastAsia="Times New Roman" w:hAnsi="Times New Roman" w:cs="Times New Roman"/>
          <w:iCs/>
          <w:color w:val="000000"/>
          <w:sz w:val="24"/>
          <w:szCs w:val="24"/>
        </w:rPr>
        <w:t>(</w:t>
      </w:r>
      <w:r w:rsidRPr="006C499E">
        <w:rPr>
          <w:rFonts w:ascii="Times New Roman" w:eastAsia="Times New Roman" w:hAnsi="Times New Roman" w:cs="Times New Roman"/>
          <w:iCs/>
          <w:color w:val="000000"/>
          <w:sz w:val="24"/>
          <w:szCs w:val="24"/>
        </w:rPr>
        <w:t>Ball and Watts 1972; Finger 1994</w:t>
      </w:r>
      <w:r w:rsidRPr="009B296C">
        <w:rPr>
          <w:rFonts w:ascii="Times New Roman" w:eastAsia="Times New Roman" w:hAnsi="Times New Roman" w:cs="Times New Roman"/>
          <w:iCs/>
          <w:color w:val="000000"/>
          <w:sz w:val="24"/>
          <w:szCs w:val="24"/>
        </w:rPr>
        <w:t xml:space="preserve">). </w:t>
      </w:r>
      <w:proofErr w:type="spellStart"/>
      <w:r w:rsidRPr="009B296C">
        <w:rPr>
          <w:rFonts w:ascii="Times New Roman" w:eastAsia="Times New Roman" w:hAnsi="Times New Roman" w:cs="Times New Roman"/>
          <w:i/>
          <w:color w:val="000000"/>
          <w:sz w:val="24"/>
          <w:szCs w:val="24"/>
        </w:rPr>
        <w:t>Lag</w:t>
      </w:r>
      <w:r>
        <w:rPr>
          <w:rFonts w:ascii="Times New Roman" w:eastAsia="Times New Roman" w:hAnsi="Times New Roman" w:cs="Times New Roman"/>
          <w:i/>
          <w:color w:val="000000"/>
          <w:sz w:val="24"/>
          <w:szCs w:val="24"/>
        </w:rPr>
        <w:t>_</w:t>
      </w:r>
      <w:r w:rsidRPr="009B296C">
        <w:rPr>
          <w:rFonts w:ascii="Times New Roman" w:eastAsia="Times New Roman" w:hAnsi="Times New Roman" w:cs="Times New Roman"/>
          <w:i/>
          <w:color w:val="000000"/>
          <w:sz w:val="24"/>
          <w:szCs w:val="24"/>
        </w:rPr>
        <w:t>INFO_ENVN</w:t>
      </w:r>
      <w:proofErr w:type="spellEnd"/>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is </w:t>
      </w:r>
      <w:r>
        <w:rPr>
          <w:rFonts w:ascii="Times New Roman" w:eastAsia="Times New Roman" w:hAnsi="Times New Roman" w:cs="Times New Roman"/>
          <w:iCs/>
          <w:color w:val="000000"/>
          <w:sz w:val="24"/>
          <w:szCs w:val="24"/>
        </w:rPr>
        <w:t xml:space="preserve">the lagged formation of </w:t>
      </w:r>
      <w:r w:rsidRPr="00054208">
        <w:rPr>
          <w:rFonts w:ascii="Times New Roman" w:eastAsia="Times New Roman" w:hAnsi="Times New Roman" w:cs="Times New Roman"/>
          <w:i/>
          <w:iCs/>
          <w:color w:val="000000"/>
          <w:sz w:val="24"/>
          <w:szCs w:val="24"/>
        </w:rPr>
        <w:t>INFO_ENVN</w:t>
      </w:r>
      <w:r w:rsidRPr="00054208">
        <w:rPr>
          <w:rFonts w:ascii="Times New Roman" w:eastAsia="Times New Roman" w:hAnsi="Times New Roman" w:cs="Times New Roman"/>
          <w:iCs/>
          <w:color w:val="000000"/>
          <w:sz w:val="24"/>
          <w:szCs w:val="24"/>
        </w:rPr>
        <w:t xml:space="preserve">, using the first principle component of </w:t>
      </w:r>
      <w:r>
        <w:rPr>
          <w:rFonts w:ascii="Times New Roman" w:eastAsia="Times New Roman" w:hAnsi="Times New Roman" w:cs="Times New Roman"/>
          <w:iCs/>
          <w:color w:val="000000"/>
          <w:sz w:val="24"/>
          <w:szCs w:val="24"/>
        </w:rPr>
        <w:t xml:space="preserve">the averaged value of </w:t>
      </w:r>
      <w:r w:rsidRPr="00054208">
        <w:rPr>
          <w:rFonts w:ascii="Times New Roman" w:eastAsia="Times New Roman" w:hAnsi="Times New Roman" w:cs="Times New Roman"/>
          <w:iCs/>
          <w:color w:val="000000"/>
          <w:sz w:val="24"/>
          <w:szCs w:val="24"/>
        </w:rPr>
        <w:t xml:space="preserve">our variables </w:t>
      </w:r>
      <w:r w:rsidRPr="00054208">
        <w:rPr>
          <w:rFonts w:ascii="Times New Roman" w:eastAsia="Times New Roman" w:hAnsi="Times New Roman" w:cs="Times New Roman"/>
          <w:i/>
          <w:iCs/>
          <w:color w:val="000000"/>
          <w:sz w:val="24"/>
          <w:szCs w:val="24"/>
        </w:rPr>
        <w:t>SPREAD</w:t>
      </w:r>
      <w:r w:rsidRPr="00054208">
        <w:rPr>
          <w:rFonts w:ascii="Times New Roman" w:eastAsia="Times New Roman" w:hAnsi="Times New Roman" w:cs="Times New Roman"/>
          <w:iCs/>
          <w:color w:val="000000"/>
          <w:sz w:val="24"/>
          <w:szCs w:val="24"/>
        </w:rPr>
        <w:t xml:space="preserve">, </w:t>
      </w:r>
      <w:r w:rsidRPr="00054208">
        <w:rPr>
          <w:rFonts w:ascii="Times New Roman" w:eastAsia="Times New Roman" w:hAnsi="Times New Roman" w:cs="Times New Roman"/>
          <w:i/>
          <w:iCs/>
          <w:color w:val="000000"/>
          <w:sz w:val="24"/>
          <w:szCs w:val="24"/>
        </w:rPr>
        <w:t>AFERROR</w:t>
      </w:r>
      <w:r w:rsidRPr="00054208">
        <w:rPr>
          <w:rFonts w:ascii="Times New Roman" w:eastAsia="Times New Roman" w:hAnsi="Times New Roman" w:cs="Times New Roman"/>
          <w:iCs/>
          <w:color w:val="000000"/>
          <w:sz w:val="24"/>
          <w:szCs w:val="24"/>
        </w:rPr>
        <w:t xml:space="preserve">, and </w:t>
      </w:r>
      <w:r w:rsidRPr="00054208">
        <w:rPr>
          <w:rFonts w:ascii="Times New Roman" w:eastAsia="Times New Roman" w:hAnsi="Times New Roman" w:cs="Times New Roman"/>
          <w:i/>
          <w:iCs/>
          <w:color w:val="000000"/>
          <w:sz w:val="24"/>
          <w:szCs w:val="24"/>
        </w:rPr>
        <w:t>AFDISP</w:t>
      </w:r>
      <w:r w:rsidRPr="00054208">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90 days prior to the earnings conference calls</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We find that o</w:t>
      </w:r>
      <w:r w:rsidRPr="009B296C">
        <w:rPr>
          <w:rFonts w:ascii="Times New Roman" w:eastAsia="Times New Roman" w:hAnsi="Times New Roman" w:cs="Times New Roman"/>
          <w:iCs/>
          <w:color w:val="000000"/>
          <w:sz w:val="24"/>
          <w:szCs w:val="24"/>
        </w:rPr>
        <w:t xml:space="preserve">ur results </w:t>
      </w:r>
      <w:r w:rsidRPr="009D4E96">
        <w:rPr>
          <w:rFonts w:ascii="Times New Roman" w:eastAsia="Times New Roman" w:hAnsi="Times New Roman" w:cs="Times New Roman"/>
          <w:iCs/>
          <w:color w:val="000000"/>
          <w:sz w:val="24"/>
          <w:szCs w:val="24"/>
        </w:rPr>
        <w:t>(</w:t>
      </w:r>
      <w:proofErr w:type="spellStart"/>
      <w:r w:rsidRPr="009D4E96">
        <w:rPr>
          <w:rFonts w:ascii="Times New Roman" w:eastAsia="Times New Roman" w:hAnsi="Times New Roman" w:cs="Times New Roman"/>
          <w:iCs/>
          <w:color w:val="000000"/>
          <w:sz w:val="24"/>
          <w:szCs w:val="24"/>
        </w:rPr>
        <w:t>untabulated</w:t>
      </w:r>
      <w:proofErr w:type="spellEnd"/>
      <w:r w:rsidRPr="009D4E96">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remain unchanged.</w:t>
      </w:r>
      <w:r>
        <w:rPr>
          <w:rFonts w:ascii="Times New Roman" w:eastAsia="Times New Roman" w:hAnsi="Times New Roman" w:cs="Times New Roman"/>
          <w:iCs/>
          <w:color w:val="000000"/>
          <w:sz w:val="24"/>
          <w:szCs w:val="24"/>
        </w:rPr>
        <w:t xml:space="preserve"> </w:t>
      </w:r>
    </w:p>
    <w:p w14:paraId="62D77687" w14:textId="77777777" w:rsidR="002E317E" w:rsidRDefault="002E317E" w:rsidP="002E317E">
      <w:pPr>
        <w:rPr>
          <w:rFonts w:ascii="Times New Roman" w:hAnsi="Times New Roman" w:cs="Times New Roman"/>
          <w:b/>
          <w:i/>
          <w:sz w:val="24"/>
          <w:szCs w:val="24"/>
        </w:rPr>
      </w:pPr>
    </w:p>
    <w:p w14:paraId="7EEB0769" w14:textId="77777777"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Correlated Omitted Variables </w:t>
      </w:r>
    </w:p>
    <w:p w14:paraId="198841CE" w14:textId="77777777" w:rsidR="002E317E" w:rsidRDefault="002E317E" w:rsidP="002E317E">
      <w:pPr>
        <w:rPr>
          <w:rFonts w:ascii="Times New Roman" w:hAnsi="Times New Roman" w:cs="Times New Roman"/>
          <w:b/>
          <w:i/>
          <w:sz w:val="24"/>
          <w:szCs w:val="24"/>
        </w:rPr>
      </w:pPr>
    </w:p>
    <w:p w14:paraId="1B513CA7" w14:textId="77777777"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D4E96">
        <w:rPr>
          <w:rFonts w:ascii="Times New Roman" w:eastAsia="Times New Roman" w:hAnsi="Times New Roman" w:cs="Times New Roman"/>
          <w:iCs/>
          <w:color w:val="000000"/>
          <w:sz w:val="24"/>
          <w:szCs w:val="24"/>
        </w:rPr>
        <w:t>The primary goal of our study is not to examine the direct effect of conservativ</w:t>
      </w:r>
      <w:r>
        <w:rPr>
          <w:rFonts w:ascii="Times New Roman" w:eastAsia="Times New Roman" w:hAnsi="Times New Roman" w:cs="Times New Roman"/>
          <w:iCs/>
          <w:color w:val="000000"/>
          <w:sz w:val="24"/>
          <w:szCs w:val="24"/>
        </w:rPr>
        <w:t>e reporting</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any of the information environment outcomes</w:t>
      </w:r>
      <w:r w:rsidRPr="009D4E96">
        <w:rPr>
          <w:rFonts w:ascii="Times New Roman" w:eastAsia="Times New Roman" w:hAnsi="Times New Roman" w:cs="Times New Roman"/>
          <w:iCs/>
          <w:color w:val="000000"/>
          <w:sz w:val="24"/>
          <w:szCs w:val="24"/>
        </w:rPr>
        <w:t xml:space="preserve">, but rather to investigate the interaction effect: </w:t>
      </w:r>
      <w:r w:rsidRPr="009D4E96">
        <w:rPr>
          <w:rFonts w:ascii="Times New Roman" w:eastAsia="Times New Roman" w:hAnsi="Times New Roman" w:cs="Times New Roman"/>
          <w:iCs/>
          <w:color w:val="000000"/>
          <w:sz w:val="24"/>
          <w:szCs w:val="24"/>
        </w:rPr>
        <w:lastRenderedPageBreak/>
        <w:t>how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affects the marginal benefit from </w:t>
      </w:r>
      <w:r>
        <w:rPr>
          <w:rFonts w:ascii="Times New Roman" w:eastAsia="Times New Roman" w:hAnsi="Times New Roman" w:cs="Times New Roman"/>
          <w:iCs/>
          <w:color w:val="000000"/>
          <w:sz w:val="24"/>
          <w:szCs w:val="24"/>
        </w:rPr>
        <w:t>forward-looking disclosure through earnings conference calls</w:t>
      </w:r>
      <w:r w:rsidRPr="009D4E96">
        <w:rPr>
          <w:rFonts w:ascii="Times New Roman" w:eastAsia="Times New Roman" w:hAnsi="Times New Roman" w:cs="Times New Roman"/>
          <w:iCs/>
          <w:color w:val="000000"/>
          <w:sz w:val="24"/>
          <w:szCs w:val="24"/>
        </w:rPr>
        <w:t xml:space="preserve"> for </w:t>
      </w:r>
      <w:r>
        <w:rPr>
          <w:rFonts w:ascii="Times New Roman" w:eastAsia="Times New Roman" w:hAnsi="Times New Roman" w:cs="Times New Roman"/>
          <w:iCs/>
          <w:color w:val="000000"/>
          <w:sz w:val="24"/>
          <w:szCs w:val="24"/>
        </w:rPr>
        <w:t>firm information environment</w:t>
      </w:r>
      <w:r w:rsidRPr="009D4E96">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 this setting, o</w:t>
      </w:r>
      <w:r w:rsidRPr="009D4E96">
        <w:rPr>
          <w:rFonts w:ascii="Times New Roman" w:eastAsia="Times New Roman" w:hAnsi="Times New Roman" w:cs="Times New Roman"/>
          <w:iCs/>
          <w:color w:val="000000"/>
          <w:sz w:val="24"/>
          <w:szCs w:val="24"/>
        </w:rPr>
        <w:t>ne possible concern is that there exists some omitted variable correlated with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that amplifies the effect of </w:t>
      </w:r>
      <w:r>
        <w:rPr>
          <w:rFonts w:ascii="Times New Roman" w:eastAsia="Times New Roman" w:hAnsi="Times New Roman" w:cs="Times New Roman"/>
          <w:iCs/>
          <w:color w:val="000000"/>
          <w:sz w:val="24"/>
          <w:szCs w:val="24"/>
        </w:rPr>
        <w:t>forward-looking disclosure</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the firm information environment</w:t>
      </w:r>
      <w:r w:rsidRPr="009D4E96">
        <w:rPr>
          <w:rFonts w:ascii="Times New Roman" w:eastAsia="Times New Roman" w:hAnsi="Times New Roman" w:cs="Times New Roman"/>
          <w:iCs/>
          <w:color w:val="000000"/>
          <w:sz w:val="24"/>
          <w:szCs w:val="24"/>
        </w:rPr>
        <w:t xml:space="preserve"> (i.e., a correlated omitted variable). </w:t>
      </w:r>
      <w:r>
        <w:rPr>
          <w:rFonts w:ascii="Times New Roman" w:eastAsia="Times New Roman" w:hAnsi="Times New Roman" w:cs="Times New Roman"/>
          <w:iCs/>
          <w:color w:val="000000"/>
          <w:sz w:val="24"/>
          <w:szCs w:val="24"/>
        </w:rPr>
        <w:t xml:space="preserve">Note that, to control for </w:t>
      </w:r>
      <w:r w:rsidRPr="009D4E96">
        <w:rPr>
          <w:rFonts w:ascii="Times New Roman" w:eastAsia="Times New Roman" w:hAnsi="Times New Roman" w:cs="Times New Roman"/>
          <w:iCs/>
          <w:color w:val="000000"/>
          <w:sz w:val="24"/>
          <w:szCs w:val="24"/>
        </w:rPr>
        <w:t xml:space="preserve">potential unobservable </w:t>
      </w:r>
      <w:r>
        <w:rPr>
          <w:rFonts w:ascii="Times New Roman" w:eastAsia="Times New Roman" w:hAnsi="Times New Roman" w:cs="Times New Roman"/>
          <w:iCs/>
          <w:color w:val="000000"/>
          <w:sz w:val="24"/>
          <w:szCs w:val="24"/>
        </w:rPr>
        <w:t xml:space="preserve">correlated </w:t>
      </w:r>
      <w:r w:rsidRPr="009D4E96">
        <w:rPr>
          <w:rFonts w:ascii="Times New Roman" w:eastAsia="Times New Roman" w:hAnsi="Times New Roman" w:cs="Times New Roman"/>
          <w:iCs/>
          <w:color w:val="000000"/>
          <w:sz w:val="24"/>
          <w:szCs w:val="24"/>
        </w:rPr>
        <w:t>omitted variables related to firm fixed characteristics</w:t>
      </w:r>
      <w:r>
        <w:rPr>
          <w:rFonts w:ascii="Times New Roman" w:eastAsia="Times New Roman" w:hAnsi="Times New Roman" w:cs="Times New Roman"/>
          <w:iCs/>
          <w:color w:val="000000"/>
          <w:sz w:val="24"/>
          <w:szCs w:val="24"/>
        </w:rPr>
        <w:t xml:space="preserve">, we </w:t>
      </w:r>
      <w:r w:rsidRPr="009D4E96">
        <w:rPr>
          <w:rFonts w:ascii="Times New Roman" w:eastAsia="Times New Roman" w:hAnsi="Times New Roman" w:cs="Times New Roman"/>
          <w:iCs/>
          <w:color w:val="000000"/>
          <w:sz w:val="24"/>
          <w:szCs w:val="24"/>
        </w:rPr>
        <w:t>includ</w:t>
      </w:r>
      <w:r>
        <w:rPr>
          <w:rFonts w:ascii="Times New Roman" w:eastAsia="Times New Roman" w:hAnsi="Times New Roman" w:cs="Times New Roman"/>
          <w:iCs/>
          <w:color w:val="000000"/>
          <w:sz w:val="24"/>
          <w:szCs w:val="24"/>
        </w:rPr>
        <w:t>e</w:t>
      </w:r>
      <w:r w:rsidRPr="009D4E96">
        <w:rPr>
          <w:rFonts w:ascii="Times New Roman" w:eastAsia="Times New Roman" w:hAnsi="Times New Roman" w:cs="Times New Roman"/>
          <w:iCs/>
          <w:color w:val="000000"/>
          <w:sz w:val="24"/>
          <w:szCs w:val="24"/>
        </w:rPr>
        <w:t xml:space="preserve"> firm fixed effects</w:t>
      </w:r>
      <w:r>
        <w:rPr>
          <w:rFonts w:ascii="Times New Roman" w:eastAsia="Times New Roman" w:hAnsi="Times New Roman" w:cs="Times New Roman"/>
          <w:iCs/>
          <w:color w:val="000000"/>
          <w:sz w:val="24"/>
          <w:szCs w:val="24"/>
        </w:rPr>
        <w:t xml:space="preserve"> in all of our regressions</w:t>
      </w:r>
      <w:r w:rsidRPr="009D4E96">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 xml:space="preserve"> </w:t>
      </w:r>
    </w:p>
    <w:p w14:paraId="16908AB8" w14:textId="23697C60"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To explore </w:t>
      </w:r>
      <w:r w:rsidRPr="009D4E96">
        <w:rPr>
          <w:rFonts w:ascii="Times New Roman" w:eastAsia="Times New Roman" w:hAnsi="Times New Roman" w:cs="Times New Roman"/>
          <w:iCs/>
          <w:color w:val="000000"/>
          <w:sz w:val="24"/>
          <w:szCs w:val="24"/>
        </w:rPr>
        <w:t xml:space="preserve">this </w:t>
      </w:r>
      <w:r>
        <w:rPr>
          <w:rFonts w:ascii="Times New Roman" w:eastAsia="Times New Roman" w:hAnsi="Times New Roman" w:cs="Times New Roman"/>
          <w:iCs/>
          <w:color w:val="000000"/>
          <w:sz w:val="24"/>
          <w:szCs w:val="24"/>
        </w:rPr>
        <w:t xml:space="preserve">potential </w:t>
      </w:r>
      <w:r w:rsidRPr="009D4E96">
        <w:rPr>
          <w:rFonts w:ascii="Times New Roman" w:eastAsia="Times New Roman" w:hAnsi="Times New Roman" w:cs="Times New Roman"/>
          <w:iCs/>
          <w:color w:val="000000"/>
          <w:sz w:val="24"/>
          <w:szCs w:val="24"/>
        </w:rPr>
        <w:t xml:space="preserve">concern, we </w:t>
      </w:r>
      <w:r>
        <w:rPr>
          <w:rFonts w:ascii="Times New Roman" w:eastAsia="Times New Roman" w:hAnsi="Times New Roman" w:cs="Times New Roman"/>
          <w:iCs/>
          <w:color w:val="000000"/>
          <w:sz w:val="24"/>
          <w:szCs w:val="24"/>
        </w:rPr>
        <w:t xml:space="preserve">further control for </w:t>
      </w:r>
      <w:r w:rsidRPr="009D4E96">
        <w:rPr>
          <w:rFonts w:ascii="Times New Roman" w:eastAsia="Times New Roman" w:hAnsi="Times New Roman" w:cs="Times New Roman"/>
          <w:iCs/>
          <w:color w:val="000000"/>
          <w:sz w:val="24"/>
          <w:szCs w:val="24"/>
        </w:rPr>
        <w:t xml:space="preserve">several interactions </w:t>
      </w:r>
      <w:r>
        <w:rPr>
          <w:rFonts w:ascii="Times New Roman" w:eastAsia="Times New Roman" w:hAnsi="Times New Roman" w:cs="Times New Roman"/>
          <w:iCs/>
          <w:color w:val="000000"/>
          <w:sz w:val="24"/>
          <w:szCs w:val="24"/>
        </w:rPr>
        <w:t xml:space="preserve">terms of our control variables </w:t>
      </w:r>
      <w:r w:rsidRPr="009D4E96">
        <w:rPr>
          <w:rFonts w:ascii="Times New Roman" w:eastAsia="Times New Roman" w:hAnsi="Times New Roman" w:cs="Times New Roman"/>
          <w:iCs/>
          <w:color w:val="000000"/>
          <w:sz w:val="24"/>
          <w:szCs w:val="24"/>
        </w:rPr>
        <w:t xml:space="preserve">with </w:t>
      </w:r>
      <w:r>
        <w:rPr>
          <w:rFonts w:ascii="Times New Roman" w:eastAsia="Times New Roman" w:hAnsi="Times New Roman" w:cs="Times New Roman"/>
          <w:iCs/>
          <w:color w:val="000000"/>
          <w:sz w:val="24"/>
          <w:szCs w:val="24"/>
        </w:rPr>
        <w:t>forward-looking disclosure, including firm size, growth opportunities, and leverage ratio (</w:t>
      </w:r>
      <w:r w:rsidRPr="004A1A90">
        <w:rPr>
          <w:rFonts w:ascii="Times New Roman" w:eastAsia="Times New Roman" w:hAnsi="Times New Roman" w:cs="Times New Roman"/>
          <w:iCs/>
          <w:color w:val="000000"/>
          <w:sz w:val="24"/>
          <w:szCs w:val="24"/>
        </w:rPr>
        <w:t>Khan and Watts 2009</w:t>
      </w:r>
      <w:r>
        <w:rPr>
          <w:rFonts w:ascii="Times New Roman" w:eastAsia="Times New Roman" w:hAnsi="Times New Roman" w:cs="Times New Roman"/>
          <w:iCs/>
          <w:color w:val="000000"/>
          <w:sz w:val="24"/>
          <w:szCs w:val="24"/>
        </w:rPr>
        <w:t>), firm age and investment cycle (Khan and Watts 2009; Ball et al. 2013) and litigation risk (</w:t>
      </w:r>
      <w:r w:rsidRPr="006C499E">
        <w:rPr>
          <w:rFonts w:ascii="Times New Roman" w:eastAsia="Times New Roman" w:hAnsi="Times New Roman" w:cs="Times New Roman"/>
          <w:iCs/>
          <w:color w:val="000000"/>
          <w:sz w:val="24"/>
          <w:szCs w:val="24"/>
        </w:rPr>
        <w:t xml:space="preserve">Chung and Wynn 2008; </w:t>
      </w:r>
      <w:proofErr w:type="spellStart"/>
      <w:r>
        <w:rPr>
          <w:rFonts w:ascii="Times New Roman" w:eastAsia="Times New Roman" w:hAnsi="Times New Roman" w:cs="Times New Roman"/>
          <w:iCs/>
          <w:color w:val="000000"/>
          <w:sz w:val="24"/>
          <w:szCs w:val="24"/>
        </w:rPr>
        <w:t>Basu</w:t>
      </w:r>
      <w:proofErr w:type="spellEnd"/>
      <w:r>
        <w:rPr>
          <w:rFonts w:ascii="Times New Roman" w:eastAsia="Times New Roman" w:hAnsi="Times New Roman" w:cs="Times New Roman"/>
          <w:iCs/>
          <w:color w:val="000000"/>
          <w:sz w:val="24"/>
          <w:szCs w:val="24"/>
        </w:rPr>
        <w:t xml:space="preserve"> and Liang 2019)</w:t>
      </w:r>
      <w:r w:rsidRPr="009D4E96">
        <w:rPr>
          <w:rFonts w:ascii="Times New Roman" w:eastAsia="Times New Roman" w:hAnsi="Times New Roman" w:cs="Times New Roman"/>
          <w:iCs/>
          <w:color w:val="000000"/>
          <w:sz w:val="24"/>
          <w:szCs w:val="24"/>
        </w:rPr>
        <w:t>. These control variables are known to be correlated with accounting conservatism and, therefore, help us rule out the above-mentioned</w:t>
      </w:r>
      <w:r>
        <w:rPr>
          <w:rFonts w:ascii="Times New Roman" w:eastAsia="Times New Roman" w:hAnsi="Times New Roman" w:cs="Times New Roman"/>
          <w:iCs/>
          <w:color w:val="000000"/>
          <w:sz w:val="24"/>
          <w:szCs w:val="24"/>
        </w:rPr>
        <w:t xml:space="preserve"> </w:t>
      </w:r>
      <w:r w:rsidRPr="009D4E96">
        <w:rPr>
          <w:rFonts w:ascii="Times New Roman" w:eastAsia="Times New Roman" w:hAnsi="Times New Roman" w:cs="Times New Roman"/>
          <w:iCs/>
          <w:color w:val="000000"/>
          <w:sz w:val="24"/>
          <w:szCs w:val="24"/>
        </w:rPr>
        <w:t>alternative explanation.</w:t>
      </w:r>
      <w:r>
        <w:rPr>
          <w:rFonts w:ascii="Times New Roman" w:eastAsia="Times New Roman" w:hAnsi="Times New Roman" w:cs="Times New Roman"/>
          <w:iCs/>
          <w:color w:val="000000"/>
          <w:sz w:val="24"/>
          <w:szCs w:val="24"/>
        </w:rPr>
        <w:t xml:space="preserve"> These results are tabulated in Table </w:t>
      </w:r>
      <w:r w:rsidR="00F23760">
        <w:rPr>
          <w:rFonts w:ascii="Times New Roman" w:eastAsia="Times New Roman" w:hAnsi="Times New Roman" w:cs="Times New Roman"/>
          <w:iCs/>
          <w:color w:val="000000"/>
          <w:sz w:val="24"/>
          <w:szCs w:val="24"/>
        </w:rPr>
        <w:t>5</w:t>
      </w:r>
      <w:r>
        <w:rPr>
          <w:rFonts w:ascii="Times New Roman" w:eastAsia="Times New Roman" w:hAnsi="Times New Roman" w:cs="Times New Roman"/>
          <w:iCs/>
          <w:color w:val="000000"/>
          <w:sz w:val="24"/>
          <w:szCs w:val="24"/>
        </w:rPr>
        <w:t xml:space="preserve">. We find that the three out of the six additional interaction items are marginally significant. Our main results remain unchanged. We conclude that our results are not affected by these common factors correlated with conservatism to amplify the effect of forward-looking disclosure. </w:t>
      </w:r>
    </w:p>
    <w:p w14:paraId="6DDEDCD9" w14:textId="77777777" w:rsidR="00A10528" w:rsidRPr="002A0094" w:rsidRDefault="00A10528" w:rsidP="00FC3CF3">
      <w:pPr>
        <w:spacing w:line="480" w:lineRule="auto"/>
        <w:ind w:firstLine="720"/>
        <w:contextualSpacing/>
        <w:jc w:val="both"/>
        <w:rPr>
          <w:rFonts w:ascii="Times New Roman" w:eastAsia="Times New Roman" w:hAnsi="Times New Roman" w:cs="Times New Roman"/>
          <w:color w:val="000000"/>
          <w:sz w:val="24"/>
          <w:szCs w:val="24"/>
        </w:rPr>
      </w:pPr>
    </w:p>
    <w:p w14:paraId="1FFFD002" w14:textId="02E6116F" w:rsidR="00B14ECE" w:rsidRDefault="00A10528"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t>4.</w:t>
      </w:r>
      <w:r w:rsidR="00B14ECE">
        <w:rPr>
          <w:rFonts w:ascii="Times New Roman" w:hAnsi="Times New Roman" w:cs="Times New Roman"/>
          <w:b/>
          <w:sz w:val="24"/>
          <w:szCs w:val="24"/>
        </w:rPr>
        <w:t>2</w:t>
      </w:r>
      <w:r>
        <w:rPr>
          <w:rFonts w:ascii="Times New Roman" w:hAnsi="Times New Roman" w:cs="Times New Roman"/>
          <w:b/>
          <w:sz w:val="24"/>
          <w:szCs w:val="24"/>
        </w:rPr>
        <w:t xml:space="preserve"> </w:t>
      </w:r>
      <w:r w:rsidR="00B14ECE">
        <w:rPr>
          <w:rFonts w:ascii="Times New Roman" w:hAnsi="Times New Roman" w:cs="Times New Roman"/>
          <w:b/>
          <w:sz w:val="24"/>
          <w:szCs w:val="24"/>
        </w:rPr>
        <w:t xml:space="preserve">Regression </w:t>
      </w:r>
      <w:r w:rsidR="00B14ECE" w:rsidRPr="00C24CCA">
        <w:rPr>
          <w:rFonts w:ascii="Times New Roman" w:hAnsi="Times New Roman" w:cs="Times New Roman"/>
          <w:b/>
          <w:sz w:val="24"/>
          <w:szCs w:val="24"/>
        </w:rPr>
        <w:t xml:space="preserve">Results </w:t>
      </w:r>
      <w:r w:rsidR="00B14ECE">
        <w:rPr>
          <w:rFonts w:ascii="Times New Roman" w:hAnsi="Times New Roman" w:cs="Times New Roman"/>
          <w:b/>
          <w:sz w:val="24"/>
          <w:szCs w:val="24"/>
        </w:rPr>
        <w:t>for H2</w:t>
      </w:r>
    </w:p>
    <w:p w14:paraId="2F75D179" w14:textId="1E592B4C" w:rsidR="00A10528" w:rsidRDefault="00B14ECE" w:rsidP="00B14ECE">
      <w:pPr>
        <w:spacing w:after="160" w:line="480" w:lineRule="auto"/>
        <w:ind w:right="-360"/>
        <w:contextualSpacing/>
        <w:rPr>
          <w:rFonts w:ascii="Times New Roman" w:hAnsi="Times New Roman" w:cs="Times New Roman"/>
          <w:b/>
          <w:sz w:val="24"/>
          <w:szCs w:val="24"/>
        </w:rPr>
      </w:pPr>
      <w:r w:rsidRPr="00B14ECE">
        <w:rPr>
          <w:rFonts w:ascii="Times New Roman" w:hAnsi="Times New Roman" w:cs="Times New Roman"/>
          <w:b/>
          <w:i/>
          <w:sz w:val="24"/>
          <w:szCs w:val="24"/>
        </w:rPr>
        <w:t>4.2.1</w:t>
      </w:r>
      <w:r>
        <w:rPr>
          <w:rFonts w:ascii="Times New Roman" w:hAnsi="Times New Roman" w:cs="Times New Roman"/>
          <w:b/>
          <w:sz w:val="24"/>
          <w:szCs w:val="24"/>
        </w:rPr>
        <w:t xml:space="preserve"> </w:t>
      </w:r>
      <w:r w:rsidR="007708C2" w:rsidRPr="00B14ECE">
        <w:rPr>
          <w:rFonts w:ascii="Times New Roman" w:hAnsi="Times New Roman" w:cs="Times New Roman"/>
          <w:b/>
          <w:i/>
          <w:sz w:val="24"/>
          <w:szCs w:val="24"/>
        </w:rPr>
        <w:t xml:space="preserve">Granger </w:t>
      </w:r>
      <w:r w:rsidR="00A10528" w:rsidRPr="00B14ECE">
        <w:rPr>
          <w:rFonts w:ascii="Times New Roman" w:hAnsi="Times New Roman" w:cs="Times New Roman"/>
          <w:b/>
          <w:i/>
          <w:sz w:val="24"/>
          <w:szCs w:val="24"/>
        </w:rPr>
        <w:t xml:space="preserve">Causality </w:t>
      </w:r>
      <w:r w:rsidR="00FB4DFC" w:rsidRPr="00B14ECE">
        <w:rPr>
          <w:rFonts w:ascii="Times New Roman" w:hAnsi="Times New Roman" w:cs="Times New Roman"/>
          <w:b/>
          <w:i/>
          <w:sz w:val="24"/>
          <w:szCs w:val="24"/>
        </w:rPr>
        <w:t>for the Relation between Forward-looking Disclosure and Conservatism</w:t>
      </w:r>
      <w:r w:rsidR="00FB4DFC" w:rsidRPr="004E132D">
        <w:rPr>
          <w:rFonts w:ascii="Times New Roman" w:hAnsi="Times New Roman" w:cs="Times New Roman"/>
          <w:b/>
          <w:sz w:val="24"/>
          <w:szCs w:val="24"/>
        </w:rPr>
        <w:t xml:space="preserve"> </w:t>
      </w:r>
    </w:p>
    <w:p w14:paraId="694F44DB" w14:textId="563AFE43" w:rsidR="003354AF" w:rsidRDefault="00354809" w:rsidP="004E132D">
      <w:pPr>
        <w:autoSpaceDE w:val="0"/>
        <w:autoSpaceDN w:val="0"/>
        <w:adjustRightInd w:val="0"/>
        <w:spacing w:line="480" w:lineRule="auto"/>
        <w:ind w:firstLine="720"/>
        <w:contextualSpacing/>
        <w:jc w:val="both"/>
        <w:rPr>
          <w:rFonts w:ascii="Times New Roman" w:hAnsi="Times New Roman" w:cs="Times New Roman"/>
          <w:sz w:val="24"/>
          <w:szCs w:val="24"/>
        </w:rPr>
      </w:pPr>
      <w:r w:rsidRPr="00354809">
        <w:rPr>
          <w:rFonts w:ascii="Times New Roman" w:hAnsi="Times New Roman" w:cs="Times New Roman"/>
          <w:sz w:val="24"/>
          <w:szCs w:val="24"/>
        </w:rPr>
        <w:t>Prior studies examine the r</w:t>
      </w:r>
      <w:r>
        <w:rPr>
          <w:rFonts w:ascii="Times New Roman" w:hAnsi="Times New Roman" w:cs="Times New Roman"/>
          <w:sz w:val="24"/>
          <w:szCs w:val="24"/>
        </w:rPr>
        <w:t>elation between earnings attributes and voluntary disclosure (</w:t>
      </w:r>
      <w:r w:rsidR="00C452A8">
        <w:rPr>
          <w:rFonts w:ascii="Times New Roman" w:hAnsi="Times New Roman" w:cs="Times New Roman"/>
          <w:sz w:val="24"/>
          <w:szCs w:val="24"/>
        </w:rPr>
        <w:t>Lennox and Park 2006; Gong et al. 2009; Call et al. 2014</w:t>
      </w:r>
      <w:r>
        <w:rPr>
          <w:rFonts w:ascii="Times New Roman" w:hAnsi="Times New Roman" w:cs="Times New Roman"/>
          <w:sz w:val="24"/>
          <w:szCs w:val="24"/>
        </w:rPr>
        <w:t xml:space="preserve">). Many of these studies investigate how </w:t>
      </w:r>
      <w:r w:rsidR="004E132D">
        <w:rPr>
          <w:rFonts w:ascii="Times New Roman" w:hAnsi="Times New Roman" w:cs="Times New Roman"/>
          <w:sz w:val="24"/>
          <w:szCs w:val="24"/>
        </w:rPr>
        <w:t xml:space="preserve">the </w:t>
      </w:r>
      <w:r>
        <w:rPr>
          <w:rFonts w:ascii="Times New Roman" w:hAnsi="Times New Roman" w:cs="Times New Roman"/>
          <w:sz w:val="24"/>
          <w:szCs w:val="24"/>
        </w:rPr>
        <w:t xml:space="preserve">earnings attributes impact the issuance of management earnings forecasts. For example, </w:t>
      </w:r>
      <w:r w:rsidR="00C452A8">
        <w:rPr>
          <w:rFonts w:ascii="Times New Roman" w:hAnsi="Times New Roman" w:cs="Times New Roman"/>
          <w:sz w:val="24"/>
          <w:szCs w:val="24"/>
        </w:rPr>
        <w:t xml:space="preserve">Lennox and Park (2006) find that higher market sensitivity to earnings is related to a higher likelihood of management earnings forecasts. While earnings attributes influence management </w:t>
      </w:r>
      <w:r w:rsidR="00C452A8">
        <w:rPr>
          <w:rFonts w:ascii="Times New Roman" w:hAnsi="Times New Roman" w:cs="Times New Roman"/>
          <w:sz w:val="24"/>
          <w:szCs w:val="24"/>
        </w:rPr>
        <w:lastRenderedPageBreak/>
        <w:t xml:space="preserve">guidance behavior, </w:t>
      </w:r>
      <w:r w:rsidR="002E317E">
        <w:rPr>
          <w:rFonts w:ascii="Times New Roman" w:hAnsi="Times New Roman" w:cs="Times New Roman"/>
          <w:sz w:val="24"/>
          <w:szCs w:val="24"/>
        </w:rPr>
        <w:t xml:space="preserve">it is possible that </w:t>
      </w:r>
      <w:r w:rsidR="00C452A8">
        <w:rPr>
          <w:rFonts w:ascii="Times New Roman" w:hAnsi="Times New Roman" w:cs="Times New Roman"/>
          <w:sz w:val="24"/>
          <w:szCs w:val="24"/>
        </w:rPr>
        <w:t xml:space="preserve">earnings quality can </w:t>
      </w:r>
      <w:r w:rsidR="002E317E">
        <w:rPr>
          <w:rFonts w:ascii="Times New Roman" w:hAnsi="Times New Roman" w:cs="Times New Roman"/>
          <w:sz w:val="24"/>
          <w:szCs w:val="24"/>
        </w:rPr>
        <w:t xml:space="preserve">also </w:t>
      </w:r>
      <w:r w:rsidR="00C452A8">
        <w:rPr>
          <w:rFonts w:ascii="Times New Roman" w:hAnsi="Times New Roman" w:cs="Times New Roman"/>
          <w:sz w:val="24"/>
          <w:szCs w:val="24"/>
        </w:rPr>
        <w:t xml:space="preserve">impact earnings guidance practices (Call et al. 2014). </w:t>
      </w:r>
      <w:r w:rsidR="003354AF">
        <w:rPr>
          <w:rFonts w:ascii="Times New Roman" w:hAnsi="Times New Roman" w:cs="Times New Roman"/>
          <w:sz w:val="24"/>
          <w:szCs w:val="24"/>
        </w:rPr>
        <w:t xml:space="preserve">For example, </w:t>
      </w:r>
      <w:proofErr w:type="gramStart"/>
      <w:r w:rsidR="00C452A8">
        <w:rPr>
          <w:rFonts w:ascii="Times New Roman" w:hAnsi="Times New Roman" w:cs="Times New Roman"/>
          <w:sz w:val="24"/>
          <w:szCs w:val="24"/>
        </w:rPr>
        <w:t>Call</w:t>
      </w:r>
      <w:proofErr w:type="gramEnd"/>
      <w:r w:rsidR="00C452A8">
        <w:rPr>
          <w:rFonts w:ascii="Times New Roman" w:hAnsi="Times New Roman" w:cs="Times New Roman"/>
          <w:sz w:val="24"/>
          <w:szCs w:val="24"/>
        </w:rPr>
        <w:t xml:space="preserve"> et al. (2014) document tha</w:t>
      </w:r>
      <w:r w:rsidR="004E132D">
        <w:rPr>
          <w:rFonts w:ascii="Times New Roman" w:hAnsi="Times New Roman" w:cs="Times New Roman"/>
          <w:sz w:val="24"/>
          <w:szCs w:val="24"/>
        </w:rPr>
        <w:t>t issuing short-term management</w:t>
      </w:r>
      <w:r w:rsidR="00C452A8">
        <w:rPr>
          <w:rFonts w:ascii="Times New Roman" w:hAnsi="Times New Roman" w:cs="Times New Roman"/>
          <w:sz w:val="24"/>
          <w:szCs w:val="24"/>
        </w:rPr>
        <w:t xml:space="preserve"> forecasts is associated with higher earnings quality. </w:t>
      </w:r>
      <w:r w:rsidR="003354AF">
        <w:rPr>
          <w:rFonts w:ascii="Times New Roman" w:hAnsi="Times New Roman" w:cs="Times New Roman"/>
          <w:sz w:val="24"/>
          <w:szCs w:val="24"/>
        </w:rPr>
        <w:t>Thus, we explore the causality between forward-looking disclosure and conservative reporting by using Granger lead-lag test</w:t>
      </w:r>
      <w:r w:rsidR="002E317E">
        <w:rPr>
          <w:rFonts w:ascii="Times New Roman" w:hAnsi="Times New Roman" w:cs="Times New Roman"/>
          <w:sz w:val="24"/>
          <w:szCs w:val="24"/>
        </w:rPr>
        <w:t xml:space="preserve"> in our setting</w:t>
      </w:r>
      <w:r w:rsidR="003354AF">
        <w:rPr>
          <w:rFonts w:ascii="Times New Roman" w:hAnsi="Times New Roman" w:cs="Times New Roman"/>
          <w:sz w:val="24"/>
          <w:szCs w:val="24"/>
        </w:rPr>
        <w:t>.</w:t>
      </w:r>
      <w:r w:rsidR="006A513F">
        <w:rPr>
          <w:rFonts w:ascii="Times New Roman" w:hAnsi="Times New Roman" w:cs="Times New Roman"/>
          <w:sz w:val="24"/>
          <w:szCs w:val="24"/>
        </w:rPr>
        <w:t xml:space="preserve"> We follow prior research (e.g. Grinstein and </w:t>
      </w:r>
      <w:proofErr w:type="spellStart"/>
      <w:r w:rsidR="006A513F">
        <w:rPr>
          <w:rFonts w:ascii="Times New Roman" w:hAnsi="Times New Roman" w:cs="Times New Roman"/>
          <w:sz w:val="24"/>
          <w:szCs w:val="24"/>
        </w:rPr>
        <w:t>Michaely</w:t>
      </w:r>
      <w:proofErr w:type="spellEnd"/>
      <w:r w:rsidR="006A513F">
        <w:rPr>
          <w:rFonts w:ascii="Times New Roman" w:hAnsi="Times New Roman" w:cs="Times New Roman"/>
          <w:sz w:val="24"/>
          <w:szCs w:val="24"/>
        </w:rPr>
        <w:t xml:space="preserve"> 2005; Chang and Zhang 2015; Koo et al. 2017) and employ the </w:t>
      </w:r>
      <w:r w:rsidR="003205A3">
        <w:rPr>
          <w:rFonts w:ascii="Times New Roman" w:hAnsi="Times New Roman" w:cs="Times New Roman"/>
          <w:sz w:val="24"/>
          <w:szCs w:val="24"/>
        </w:rPr>
        <w:t>panel</w:t>
      </w:r>
      <w:r w:rsidR="006A513F">
        <w:rPr>
          <w:rFonts w:ascii="Times New Roman" w:hAnsi="Times New Roman" w:cs="Times New Roman"/>
          <w:sz w:val="24"/>
          <w:szCs w:val="24"/>
        </w:rPr>
        <w:t xml:space="preserve"> vector autoregression (PVAR) methodology developed by Holtz-Eakin et al. (1998). </w:t>
      </w:r>
      <w:r w:rsidR="00951483">
        <w:rPr>
          <w:rFonts w:ascii="Times New Roman" w:hAnsi="Times New Roman" w:cs="Times New Roman"/>
          <w:sz w:val="24"/>
          <w:szCs w:val="24"/>
        </w:rPr>
        <w:t>F</w:t>
      </w:r>
      <w:r w:rsidR="003354AF">
        <w:rPr>
          <w:rFonts w:ascii="Times New Roman" w:hAnsi="Times New Roman" w:cs="Times New Roman"/>
          <w:sz w:val="24"/>
          <w:szCs w:val="24"/>
        </w:rPr>
        <w:t>or the Granger causality test, we estimate the following equation:</w:t>
      </w:r>
    </w:p>
    <w:p w14:paraId="76C4417C" w14:textId="3A0E60A7" w:rsidR="003354AF" w:rsidRPr="003354AF" w:rsidRDefault="003354AF" w:rsidP="006A513F">
      <w:pPr>
        <w:autoSpaceDE w:val="0"/>
        <w:autoSpaceDN w:val="0"/>
        <w:adjustRightInd w:val="0"/>
        <w:ind w:left="2250" w:right="-180" w:hanging="1530"/>
        <w:contextualSpacing/>
        <w:rPr>
          <w:rFonts w:ascii="Times New Roman" w:eastAsia="Times New Roman" w:hAnsi="Times New Roman" w:cs="Times New Roman"/>
          <w:color w:val="000000"/>
          <w:sz w:val="24"/>
          <w:szCs w:val="24"/>
        </w:rPr>
      </w:pPr>
      <w:proofErr w:type="spellStart"/>
      <w:r w:rsidRPr="003354AF">
        <w:rPr>
          <w:rFonts w:ascii="Times New Roman" w:hAnsi="Times New Roman" w:cs="Times New Roman"/>
          <w:i/>
          <w:sz w:val="24"/>
          <w:szCs w:val="24"/>
        </w:rPr>
        <w:t>FWDLOOK</w:t>
      </w:r>
      <w:r w:rsidRPr="003354AF">
        <w:rPr>
          <w:rFonts w:ascii="Times New Roman" w:hAnsi="Times New Roman" w:cs="Times New Roman"/>
          <w:i/>
          <w:sz w:val="24"/>
          <w:szCs w:val="24"/>
          <w:vertAlign w:val="subscript"/>
        </w:rPr>
        <w:t>jt</w:t>
      </w:r>
      <w:proofErr w:type="spellEnd"/>
      <w:r>
        <w:rPr>
          <w:rFonts w:ascii="Times New Roman" w:hAnsi="Times New Roman" w:cs="Times New Roman"/>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sidR="006A513F">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proofErr w:type="spellStart"/>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proofErr w:type="spellEnd"/>
      <w:r w:rsidR="006A513F">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(4)</w:t>
      </w:r>
    </w:p>
    <w:p w14:paraId="5705F882" w14:textId="1153C0FE"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551F8E8A" w14:textId="599EADE2"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42AAF86F" w14:textId="77777777" w:rsidR="006A513F" w:rsidRDefault="006A513F" w:rsidP="006A513F">
      <w:pPr>
        <w:autoSpaceDE w:val="0"/>
        <w:autoSpaceDN w:val="0"/>
        <w:adjustRightInd w:val="0"/>
        <w:ind w:left="1890" w:hanging="1170"/>
        <w:contextualSpacing/>
        <w:jc w:val="both"/>
        <w:rPr>
          <w:rFonts w:ascii="Times New Roman" w:eastAsia="Times New Roman" w:hAnsi="Times New Roman" w:cs="Times New Roman"/>
          <w:color w:val="000000"/>
          <w:sz w:val="24"/>
          <w:szCs w:val="24"/>
          <w:vertAlign w:val="subscript"/>
        </w:rPr>
      </w:pPr>
      <w:proofErr w:type="spellStart"/>
      <w:r>
        <w:rPr>
          <w:rFonts w:ascii="Times New Roman" w:hAnsi="Times New Roman" w:cs="Times New Roman"/>
          <w:i/>
          <w:sz w:val="24"/>
          <w:szCs w:val="24"/>
        </w:rPr>
        <w:t>CONSER</w:t>
      </w:r>
      <w:r w:rsidRPr="003354AF">
        <w:rPr>
          <w:rFonts w:ascii="Times New Roman" w:hAnsi="Times New Roman" w:cs="Times New Roman"/>
          <w:i/>
          <w:sz w:val="24"/>
          <w:szCs w:val="24"/>
          <w:vertAlign w:val="subscript"/>
        </w:rPr>
        <w:t>jt</w:t>
      </w:r>
      <w:proofErr w:type="spellEnd"/>
      <w:r>
        <w:rPr>
          <w:rFonts w:ascii="Times New Roman" w:hAnsi="Times New Roman" w:cs="Times New Roman"/>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p>
    <w:p w14:paraId="4A326061" w14:textId="1FBED311" w:rsidR="006A513F" w:rsidRPr="006A513F" w:rsidRDefault="006A513F" w:rsidP="006A513F">
      <w:pPr>
        <w:autoSpaceDE w:val="0"/>
        <w:autoSpaceDN w:val="0"/>
        <w:adjustRightInd w:val="0"/>
        <w:ind w:left="1890"/>
        <w:contextualSpacing/>
        <w:jc w:val="both"/>
        <w:rPr>
          <w:rFonts w:ascii="Times New Roman" w:hAnsi="Times New Roman" w:cs="Times New Roman"/>
          <w:i/>
          <w:sz w:val="24"/>
          <w:szCs w:val="24"/>
        </w:rPr>
      </w:pP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proofErr w:type="spellStart"/>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proofErr w:type="spellEnd"/>
      <w:r w:rsidR="00951483">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w:t>
      </w:r>
      <w:r w:rsidR="00951483">
        <w:rPr>
          <w:rFonts w:ascii="Times New Roman" w:eastAsia="Times New Roman" w:hAnsi="Times New Roman" w:cs="Times New Roman"/>
          <w:color w:val="000000"/>
          <w:sz w:val="24"/>
          <w:szCs w:val="24"/>
        </w:rPr>
        <w:t>5</w:t>
      </w:r>
      <w:r w:rsidR="00951483" w:rsidRPr="00951483">
        <w:rPr>
          <w:rFonts w:ascii="Times New Roman" w:eastAsia="Times New Roman" w:hAnsi="Times New Roman" w:cs="Times New Roman"/>
          <w:color w:val="000000"/>
          <w:sz w:val="24"/>
          <w:szCs w:val="24"/>
        </w:rPr>
        <w:t>)</w:t>
      </w:r>
    </w:p>
    <w:p w14:paraId="40FBACC5" w14:textId="414CB835" w:rsidR="00FB4DFC" w:rsidRDefault="00FB4DFC" w:rsidP="00A10528">
      <w:pPr>
        <w:autoSpaceDE w:val="0"/>
        <w:autoSpaceDN w:val="0"/>
        <w:adjustRightInd w:val="0"/>
        <w:contextualSpacing/>
        <w:jc w:val="both"/>
        <w:rPr>
          <w:rFonts w:ascii="Times New Roman" w:hAnsi="Times New Roman" w:cs="Times New Roman"/>
          <w:b/>
          <w:i/>
          <w:sz w:val="24"/>
          <w:szCs w:val="24"/>
        </w:rPr>
      </w:pPr>
    </w:p>
    <w:p w14:paraId="42253E9A" w14:textId="7A9D339F" w:rsidR="00F157A5" w:rsidRDefault="00951483" w:rsidP="004E132D">
      <w:pPr>
        <w:autoSpaceDE w:val="0"/>
        <w:autoSpaceDN w:val="0"/>
        <w:adjustRightInd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9E0703" w:rsidRPr="009E0703">
        <w:rPr>
          <w:rFonts w:ascii="Times New Roman" w:hAnsi="Times New Roman" w:cs="Times New Roman"/>
          <w:sz w:val="24"/>
          <w:szCs w:val="24"/>
        </w:rPr>
        <w:t xml:space="preserve">Table </w:t>
      </w:r>
      <w:r w:rsidR="00B14ECE">
        <w:rPr>
          <w:rFonts w:ascii="Times New Roman" w:hAnsi="Times New Roman" w:cs="Times New Roman"/>
          <w:sz w:val="24"/>
          <w:szCs w:val="24"/>
        </w:rPr>
        <w:t>6</w:t>
      </w:r>
      <w:r w:rsidR="009E0703">
        <w:rPr>
          <w:rFonts w:ascii="Times New Roman" w:hAnsi="Times New Roman" w:cs="Times New Roman"/>
          <w:sz w:val="24"/>
          <w:szCs w:val="24"/>
        </w:rPr>
        <w:t xml:space="preserve"> Column (1) reports the regression results of estimating Equation (4). </w:t>
      </w:r>
      <w:r w:rsidR="00F157A5">
        <w:rPr>
          <w:rFonts w:ascii="Times New Roman" w:hAnsi="Times New Roman" w:cs="Times New Roman"/>
          <w:sz w:val="24"/>
          <w:szCs w:val="24"/>
        </w:rPr>
        <w:t xml:space="preserve">The Granger causality test isolates the incremental effects lagged conservatism level on forward-looking disclosure after controlling for potential effects of lagged disclosure on conservatism. </w:t>
      </w:r>
      <w:r w:rsidR="009E0703">
        <w:rPr>
          <w:rFonts w:ascii="Times New Roman" w:hAnsi="Times New Roman" w:cs="Times New Roman"/>
          <w:sz w:val="24"/>
          <w:szCs w:val="24"/>
        </w:rPr>
        <w:t xml:space="preserve">We find that the coefficient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Pr>
          <w:rFonts w:ascii="Times New Roman" w:eastAsia="Times New Roman" w:hAnsi="Times New Roman" w:cs="Times New Roman"/>
          <w:i/>
          <w:color w:val="000000"/>
          <w:sz w:val="24"/>
          <w:szCs w:val="24"/>
          <w:vertAlign w:val="subscript"/>
        </w:rPr>
        <w:t xml:space="preserve"> </w:t>
      </w:r>
      <w:r w:rsidR="009E0703">
        <w:rPr>
          <w:rFonts w:ascii="Times New Roman" w:hAnsi="Times New Roman" w:cs="Times New Roman"/>
          <w:sz w:val="24"/>
          <w:szCs w:val="24"/>
        </w:rPr>
        <w:t xml:space="preserve">is positive. </w:t>
      </w:r>
      <w:r w:rsidR="00F157A5">
        <w:rPr>
          <w:rFonts w:ascii="Times New Roman" w:hAnsi="Times New Roman" w:cs="Times New Roman"/>
          <w:sz w:val="24"/>
          <w:szCs w:val="24"/>
        </w:rPr>
        <w:t>More importantly, Granger (1969) proposes a test for causality that involves conducting F-test to investigate whether lagged information of one variable, X, (i.e., conservatism) provides any statistically significant info</w:t>
      </w:r>
      <w:r w:rsidR="005D7CB9">
        <w:rPr>
          <w:rFonts w:ascii="Times New Roman" w:hAnsi="Times New Roman" w:cs="Times New Roman"/>
          <w:sz w:val="24"/>
          <w:szCs w:val="24"/>
        </w:rPr>
        <w:t>rmation about a second variable</w:t>
      </w:r>
      <w:r w:rsidR="00F157A5">
        <w:rPr>
          <w:rFonts w:ascii="Times New Roman" w:hAnsi="Times New Roman" w:cs="Times New Roman"/>
          <w:sz w:val="24"/>
          <w:szCs w:val="24"/>
        </w:rPr>
        <w:t>, Y., (i.e., forward-looking disclosure). If yes, then X (i.e., conservatism) Granger causes Y (forward-looking disclosure). We perform the Granger test by calculating F-statistics and find that t</w:t>
      </w:r>
      <w:r w:rsidR="009E0703">
        <w:rPr>
          <w:rFonts w:ascii="Times New Roman" w:hAnsi="Times New Roman" w:cs="Times New Roman"/>
          <w:sz w:val="24"/>
          <w:szCs w:val="24"/>
        </w:rPr>
        <w:t xml:space="preserve">he sum of the coefficients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sidRPr="009E0703">
        <w:rPr>
          <w:rFonts w:ascii="Times New Roman" w:eastAsia="Times New Roman" w:hAnsi="Times New Roman" w:cs="Times New Roman"/>
          <w:i/>
          <w:color w:val="000000"/>
          <w:sz w:val="24"/>
          <w:szCs w:val="24"/>
        </w:rPr>
        <w:t xml:space="preserve"> </w:t>
      </w:r>
      <w:r w:rsidR="009E0703">
        <w:rPr>
          <w:rFonts w:ascii="Times New Roman" w:eastAsia="Times New Roman" w:hAnsi="Times New Roman" w:cs="Times New Roman"/>
          <w:i/>
          <w:color w:val="000000"/>
          <w:sz w:val="24"/>
          <w:szCs w:val="24"/>
        </w:rPr>
        <w:t xml:space="preserve">and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jt-2</w:t>
      </w:r>
      <w:r w:rsidR="009E0703" w:rsidRPr="003354AF">
        <w:rPr>
          <w:rFonts w:ascii="Times New Roman" w:eastAsia="Times New Roman" w:hAnsi="Times New Roman" w:cs="Times New Roman"/>
          <w:color w:val="000000"/>
          <w:sz w:val="24"/>
          <w:szCs w:val="24"/>
          <w:vertAlign w:val="subscript"/>
        </w:rPr>
        <w:t xml:space="preserve"> </w:t>
      </w:r>
      <w:r w:rsidR="009E0703">
        <w:rPr>
          <w:rFonts w:ascii="Times New Roman" w:eastAsia="Times New Roman" w:hAnsi="Times New Roman" w:cs="Times New Roman"/>
          <w:color w:val="000000"/>
          <w:sz w:val="24"/>
          <w:szCs w:val="24"/>
        </w:rPr>
        <w:t>is also significantly positive. These results ind</w:t>
      </w:r>
      <w:r w:rsidR="00F157A5">
        <w:rPr>
          <w:rFonts w:ascii="Times New Roman" w:eastAsia="Times New Roman" w:hAnsi="Times New Roman" w:cs="Times New Roman"/>
          <w:color w:val="000000"/>
          <w:sz w:val="24"/>
          <w:szCs w:val="24"/>
        </w:rPr>
        <w:t xml:space="preserve">icate that conservatism Granger </w:t>
      </w:r>
      <w:r w:rsidR="009E0703">
        <w:rPr>
          <w:rFonts w:ascii="Times New Roman" w:eastAsia="Times New Roman" w:hAnsi="Times New Roman" w:cs="Times New Roman"/>
          <w:color w:val="000000"/>
          <w:sz w:val="24"/>
          <w:szCs w:val="24"/>
        </w:rPr>
        <w:t xml:space="preserve">causes more forward-looking disclosure. </w:t>
      </w:r>
    </w:p>
    <w:p w14:paraId="5ECA513E" w14:textId="05E65A90" w:rsidR="009E0703" w:rsidRDefault="00C83595" w:rsidP="00986C91">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r>
        <w:rPr>
          <w:rFonts w:ascii="Times New Roman" w:eastAsia="Times New Roman" w:hAnsi="Times New Roman" w:cs="Times New Roman"/>
          <w:color w:val="000000"/>
          <w:sz w:val="24"/>
          <w:szCs w:val="24"/>
        </w:rPr>
        <w:t xml:space="preserve">Column (2) reports the results of estimating Equation (5). </w:t>
      </w:r>
      <w:r w:rsidR="009B40C3">
        <w:rPr>
          <w:rFonts w:ascii="Times New Roman" w:eastAsia="Times New Roman" w:hAnsi="Times New Roman" w:cs="Times New Roman"/>
          <w:color w:val="000000"/>
          <w:sz w:val="24"/>
          <w:szCs w:val="24"/>
        </w:rPr>
        <w:t xml:space="preserve">The coefficient on </w:t>
      </w:r>
      <w:r w:rsidR="009B40C3">
        <w:rPr>
          <w:rFonts w:ascii="Times New Roman" w:eastAsia="Times New Roman" w:hAnsi="Times New Roman" w:cs="Times New Roman"/>
          <w:i/>
          <w:color w:val="000000"/>
          <w:sz w:val="24"/>
          <w:szCs w:val="24"/>
        </w:rPr>
        <w:t>FWDLOOK</w:t>
      </w:r>
      <w:r w:rsidR="00F157A5">
        <w:rPr>
          <w:rFonts w:ascii="Times New Roman" w:eastAsia="Times New Roman" w:hAnsi="Times New Roman" w:cs="Times New Roman"/>
          <w:i/>
          <w:color w:val="000000"/>
          <w:sz w:val="24"/>
          <w:szCs w:val="24"/>
          <w:vertAlign w:val="subscript"/>
        </w:rPr>
        <w:t>jt-</w:t>
      </w:r>
      <w:r w:rsidR="009B40C3" w:rsidRPr="003354AF">
        <w:rPr>
          <w:rFonts w:ascii="Times New Roman" w:eastAsia="Times New Roman" w:hAnsi="Times New Roman" w:cs="Times New Roman"/>
          <w:i/>
          <w:color w:val="000000"/>
          <w:sz w:val="24"/>
          <w:szCs w:val="24"/>
          <w:vertAlign w:val="subscript"/>
        </w:rPr>
        <w:t xml:space="preserve">1 </w:t>
      </w:r>
      <w:r w:rsidR="009B40C3">
        <w:rPr>
          <w:rFonts w:ascii="Times New Roman" w:eastAsia="Times New Roman" w:hAnsi="Times New Roman" w:cs="Times New Roman"/>
          <w:color w:val="000000"/>
          <w:sz w:val="24"/>
          <w:szCs w:val="24"/>
        </w:rPr>
        <w:t xml:space="preserve">and </w:t>
      </w:r>
      <w:r w:rsidR="009B40C3">
        <w:rPr>
          <w:rFonts w:ascii="Times New Roman" w:eastAsia="Times New Roman" w:hAnsi="Times New Roman" w:cs="Times New Roman"/>
          <w:i/>
          <w:color w:val="000000"/>
          <w:sz w:val="24"/>
          <w:szCs w:val="24"/>
        </w:rPr>
        <w:t>FWDLOOK</w:t>
      </w:r>
      <w:r w:rsidR="009B40C3" w:rsidRPr="003354AF">
        <w:rPr>
          <w:rFonts w:ascii="Times New Roman" w:eastAsia="Times New Roman" w:hAnsi="Times New Roman" w:cs="Times New Roman"/>
          <w:i/>
          <w:color w:val="000000"/>
          <w:sz w:val="24"/>
          <w:szCs w:val="24"/>
          <w:vertAlign w:val="subscript"/>
        </w:rPr>
        <w:t>jt-2</w:t>
      </w:r>
      <w:r w:rsidR="00F157A5">
        <w:rPr>
          <w:rFonts w:ascii="Times New Roman" w:eastAsia="Times New Roman" w:hAnsi="Times New Roman" w:cs="Times New Roman"/>
          <w:color w:val="000000"/>
          <w:sz w:val="24"/>
          <w:szCs w:val="24"/>
          <w:vertAlign w:val="subscript"/>
        </w:rPr>
        <w:t xml:space="preserve"> </w:t>
      </w:r>
      <w:r w:rsidR="009B40C3" w:rsidRPr="009B40C3">
        <w:rPr>
          <w:rFonts w:ascii="Times New Roman" w:eastAsia="Times New Roman" w:hAnsi="Times New Roman" w:cs="Times New Roman"/>
          <w:color w:val="000000"/>
          <w:sz w:val="24"/>
          <w:szCs w:val="24"/>
        </w:rPr>
        <w:t xml:space="preserve">are </w:t>
      </w:r>
      <w:r w:rsidR="009B40C3">
        <w:rPr>
          <w:rFonts w:ascii="Times New Roman" w:eastAsia="Times New Roman" w:hAnsi="Times New Roman" w:cs="Times New Roman"/>
          <w:color w:val="000000"/>
          <w:sz w:val="24"/>
          <w:szCs w:val="24"/>
        </w:rPr>
        <w:t>both insignificant, while the sum of the two coefficients is also insignificant</w:t>
      </w:r>
      <w:r w:rsidR="00F157A5">
        <w:rPr>
          <w:rFonts w:ascii="Times New Roman" w:eastAsia="Times New Roman" w:hAnsi="Times New Roman" w:cs="Times New Roman"/>
          <w:color w:val="000000"/>
          <w:sz w:val="24"/>
          <w:szCs w:val="24"/>
        </w:rPr>
        <w:t xml:space="preserve">. These results indicate that F-statistics fails to reject the null hypothesis of </w:t>
      </w:r>
      <w:r w:rsidR="002E317E">
        <w:rPr>
          <w:rFonts w:ascii="Times New Roman" w:eastAsia="Times New Roman" w:hAnsi="Times New Roman" w:cs="Times New Roman"/>
          <w:i/>
          <w:color w:val="000000"/>
          <w:sz w:val="24"/>
          <w:szCs w:val="24"/>
        </w:rPr>
        <w:t>FWDLOOK</w:t>
      </w:r>
      <w:r w:rsidR="002E317E">
        <w:rPr>
          <w:rFonts w:ascii="Times New Roman" w:eastAsia="Times New Roman" w:hAnsi="Times New Roman" w:cs="Times New Roman"/>
          <w:i/>
          <w:color w:val="000000"/>
          <w:sz w:val="24"/>
          <w:szCs w:val="24"/>
          <w:vertAlign w:val="subscript"/>
        </w:rPr>
        <w:t>jt-</w:t>
      </w:r>
      <w:r w:rsidR="002E317E" w:rsidRPr="003354AF">
        <w:rPr>
          <w:rFonts w:ascii="Times New Roman" w:eastAsia="Times New Roman" w:hAnsi="Times New Roman" w:cs="Times New Roman"/>
          <w:i/>
          <w:color w:val="000000"/>
          <w:sz w:val="24"/>
          <w:szCs w:val="24"/>
          <w:vertAlign w:val="subscript"/>
        </w:rPr>
        <w:t xml:space="preserve">1 </w:t>
      </w:r>
      <w:r w:rsidR="002E317E" w:rsidRPr="002E317E">
        <w:rPr>
          <w:rFonts w:ascii="Times New Roman" w:eastAsia="Times New Roman" w:hAnsi="Times New Roman" w:cs="Times New Roman"/>
          <w:color w:val="000000"/>
          <w:sz w:val="24"/>
          <w:szCs w:val="24"/>
        </w:rPr>
        <w:t>= 0 when</w:t>
      </w:r>
      <w:r w:rsidR="002E317E">
        <w:rPr>
          <w:rFonts w:ascii="Times New Roman" w:eastAsia="Times New Roman" w:hAnsi="Times New Roman" w:cs="Times New Roman"/>
          <w:color w:val="000000"/>
          <w:sz w:val="24"/>
          <w:szCs w:val="24"/>
        </w:rPr>
        <w:t xml:space="preserve"> </w:t>
      </w:r>
      <w:r w:rsidR="002E317E">
        <w:rPr>
          <w:rFonts w:ascii="Times New Roman" w:eastAsia="Times New Roman" w:hAnsi="Times New Roman" w:cs="Times New Roman"/>
          <w:color w:val="000000"/>
          <w:sz w:val="24"/>
          <w:szCs w:val="24"/>
        </w:rPr>
        <w:lastRenderedPageBreak/>
        <w:t xml:space="preserve">the dependent variable is the level of conservatism. These results </w:t>
      </w:r>
      <w:r w:rsidR="009B40C3">
        <w:rPr>
          <w:rFonts w:ascii="Times New Roman" w:eastAsia="Times New Roman" w:hAnsi="Times New Roman" w:cs="Times New Roman"/>
          <w:color w:val="000000"/>
          <w:sz w:val="24"/>
          <w:szCs w:val="24"/>
        </w:rPr>
        <w:t>provid</w:t>
      </w:r>
      <w:r w:rsidR="002E317E">
        <w:rPr>
          <w:rFonts w:ascii="Times New Roman" w:eastAsia="Times New Roman" w:hAnsi="Times New Roman" w:cs="Times New Roman"/>
          <w:color w:val="000000"/>
          <w:sz w:val="24"/>
          <w:szCs w:val="24"/>
        </w:rPr>
        <w:t>e</w:t>
      </w:r>
      <w:r w:rsidR="009B40C3">
        <w:rPr>
          <w:rFonts w:ascii="Times New Roman" w:eastAsia="Times New Roman" w:hAnsi="Times New Roman" w:cs="Times New Roman"/>
          <w:color w:val="000000"/>
          <w:sz w:val="24"/>
          <w:szCs w:val="24"/>
        </w:rPr>
        <w:t xml:space="preserve"> no evidence that for</w:t>
      </w:r>
      <w:r w:rsidR="00F157A5">
        <w:rPr>
          <w:rFonts w:ascii="Times New Roman" w:eastAsia="Times New Roman" w:hAnsi="Times New Roman" w:cs="Times New Roman"/>
          <w:color w:val="000000"/>
          <w:sz w:val="24"/>
          <w:szCs w:val="24"/>
        </w:rPr>
        <w:t xml:space="preserve">ward-looking disclosure Granger </w:t>
      </w:r>
      <w:r w:rsidR="00994E74">
        <w:rPr>
          <w:rFonts w:ascii="Times New Roman" w:eastAsia="Times New Roman" w:hAnsi="Times New Roman" w:cs="Times New Roman"/>
          <w:color w:val="000000"/>
          <w:sz w:val="24"/>
          <w:szCs w:val="24"/>
        </w:rPr>
        <w:t xml:space="preserve">cause conservative reporting, which </w:t>
      </w:r>
      <w:r w:rsidR="009B40C3">
        <w:rPr>
          <w:rFonts w:ascii="Times New Roman" w:eastAsia="Times New Roman" w:hAnsi="Times New Roman" w:cs="Times New Roman"/>
          <w:color w:val="000000"/>
          <w:sz w:val="24"/>
          <w:szCs w:val="24"/>
        </w:rPr>
        <w:t>corroborate</w:t>
      </w:r>
      <w:r w:rsidR="004E132D">
        <w:rPr>
          <w:rFonts w:ascii="Times New Roman" w:eastAsia="Times New Roman" w:hAnsi="Times New Roman" w:cs="Times New Roman"/>
          <w:color w:val="000000"/>
          <w:sz w:val="24"/>
          <w:szCs w:val="24"/>
        </w:rPr>
        <w:t>s</w:t>
      </w:r>
      <w:r w:rsidR="009B40C3">
        <w:rPr>
          <w:rFonts w:ascii="Times New Roman" w:eastAsia="Times New Roman" w:hAnsi="Times New Roman" w:cs="Times New Roman"/>
          <w:color w:val="000000"/>
          <w:sz w:val="24"/>
          <w:szCs w:val="24"/>
        </w:rPr>
        <w:t xml:space="preserve"> the </w:t>
      </w:r>
      <w:r w:rsidR="004E132D">
        <w:rPr>
          <w:rFonts w:ascii="Times New Roman" w:eastAsia="Times New Roman" w:hAnsi="Times New Roman" w:cs="Times New Roman"/>
          <w:color w:val="000000"/>
          <w:sz w:val="24"/>
          <w:szCs w:val="24"/>
        </w:rPr>
        <w:t xml:space="preserve">findings of </w:t>
      </w:r>
      <w:r w:rsidR="009B40C3">
        <w:rPr>
          <w:rFonts w:ascii="Times New Roman" w:eastAsia="Times New Roman" w:hAnsi="Times New Roman" w:cs="Times New Roman"/>
          <w:color w:val="000000"/>
          <w:sz w:val="24"/>
          <w:szCs w:val="24"/>
        </w:rPr>
        <w:t>prior research that the level of conservatism is largely determined by regulatory requirements and other factors outside of managers’ direct control (</w:t>
      </w:r>
      <w:proofErr w:type="spellStart"/>
      <w:r w:rsidR="009B40C3">
        <w:rPr>
          <w:rFonts w:ascii="Times New Roman" w:eastAsia="Times New Roman" w:hAnsi="Times New Roman" w:cs="Times New Roman"/>
          <w:color w:val="000000"/>
          <w:sz w:val="24"/>
          <w:szCs w:val="24"/>
        </w:rPr>
        <w:t>e.g</w:t>
      </w:r>
      <w:proofErr w:type="spellEnd"/>
      <w:r w:rsidR="009B40C3">
        <w:rPr>
          <w:rFonts w:ascii="Times New Roman" w:eastAsia="Times New Roman" w:hAnsi="Times New Roman" w:cs="Times New Roman"/>
          <w:color w:val="000000"/>
          <w:sz w:val="24"/>
          <w:szCs w:val="24"/>
        </w:rPr>
        <w:t xml:space="preserve">, Lawrence et al. 2013; </w:t>
      </w:r>
      <w:proofErr w:type="spellStart"/>
      <w:r w:rsidR="009B40C3">
        <w:rPr>
          <w:rFonts w:ascii="Times New Roman" w:eastAsia="Times New Roman" w:hAnsi="Times New Roman" w:cs="Times New Roman"/>
          <w:color w:val="000000"/>
          <w:sz w:val="24"/>
          <w:szCs w:val="24"/>
        </w:rPr>
        <w:t>Roychowdhury</w:t>
      </w:r>
      <w:proofErr w:type="spellEnd"/>
      <w:r w:rsidR="009B40C3">
        <w:rPr>
          <w:rFonts w:ascii="Times New Roman" w:eastAsia="Times New Roman" w:hAnsi="Times New Roman" w:cs="Times New Roman"/>
          <w:color w:val="000000"/>
          <w:sz w:val="24"/>
          <w:szCs w:val="24"/>
        </w:rPr>
        <w:t xml:space="preserve"> and Martin 2013; Hsu et al. 2017). </w:t>
      </w:r>
    </w:p>
    <w:p w14:paraId="379A26E2" w14:textId="77777777" w:rsidR="00B14ECE" w:rsidRDefault="00B14ECE" w:rsidP="00B14ECE">
      <w:pPr>
        <w:spacing w:after="160" w:line="480" w:lineRule="auto"/>
        <w:contextualSpacing/>
        <w:rPr>
          <w:rFonts w:ascii="Times New Roman" w:hAnsi="Times New Roman" w:cs="Times New Roman"/>
          <w:b/>
          <w:i/>
          <w:sz w:val="24"/>
          <w:szCs w:val="24"/>
        </w:rPr>
      </w:pPr>
    </w:p>
    <w:p w14:paraId="0475B71A" w14:textId="5CA4C158" w:rsidR="00B14ECE" w:rsidRPr="00B14ECE" w:rsidRDefault="00A10528" w:rsidP="00B14ECE">
      <w:pPr>
        <w:spacing w:after="160" w:line="480" w:lineRule="auto"/>
        <w:contextualSpacing/>
        <w:rPr>
          <w:rFonts w:ascii="Times New Roman" w:hAnsi="Times New Roman" w:cs="Times New Roman"/>
          <w:b/>
          <w:i/>
          <w:sz w:val="24"/>
          <w:szCs w:val="24"/>
        </w:rPr>
      </w:pPr>
      <w:r w:rsidRPr="00B14ECE">
        <w:rPr>
          <w:rFonts w:ascii="Times New Roman" w:hAnsi="Times New Roman" w:cs="Times New Roman"/>
          <w:b/>
          <w:i/>
          <w:sz w:val="24"/>
          <w:szCs w:val="24"/>
        </w:rPr>
        <w:t>4.</w:t>
      </w:r>
      <w:r w:rsidR="00B14ECE" w:rsidRPr="00B14ECE">
        <w:rPr>
          <w:rFonts w:ascii="Times New Roman" w:hAnsi="Times New Roman" w:cs="Times New Roman"/>
          <w:b/>
          <w:i/>
          <w:sz w:val="24"/>
          <w:szCs w:val="24"/>
        </w:rPr>
        <w:t>2.2</w:t>
      </w:r>
      <w:r w:rsidRPr="00B14ECE">
        <w:rPr>
          <w:rFonts w:ascii="Times New Roman" w:hAnsi="Times New Roman" w:cs="Times New Roman"/>
          <w:b/>
          <w:i/>
          <w:sz w:val="24"/>
          <w:szCs w:val="24"/>
        </w:rPr>
        <w:t xml:space="preserve"> </w:t>
      </w:r>
      <w:r w:rsidR="00B14ECE" w:rsidRPr="00B14ECE">
        <w:rPr>
          <w:rFonts w:ascii="Times New Roman" w:hAnsi="Times New Roman" w:cs="Times New Roman"/>
          <w:b/>
          <w:i/>
          <w:sz w:val="24"/>
          <w:szCs w:val="24"/>
        </w:rPr>
        <w:t>Regression Results for H2</w:t>
      </w:r>
    </w:p>
    <w:p w14:paraId="26D69007" w14:textId="130A714E" w:rsidR="002E317E" w:rsidRDefault="002E317E" w:rsidP="00986C91">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t xml:space="preserve">Our findings that higher conservatism leads to more forward-looking disclosure raise the question of what </w:t>
      </w:r>
      <w:r w:rsidR="00F073B4">
        <w:rPr>
          <w:rFonts w:ascii="Times New Roman" w:eastAsia="Times New Roman" w:hAnsi="Times New Roman" w:cs="Times New Roman"/>
          <w:color w:val="000000"/>
          <w:sz w:val="24"/>
          <w:szCs w:val="24"/>
        </w:rPr>
        <w:t>types</w:t>
      </w:r>
      <w:r>
        <w:rPr>
          <w:rFonts w:ascii="Times New Roman" w:eastAsia="Times New Roman" w:hAnsi="Times New Roman" w:cs="Times New Roman"/>
          <w:color w:val="000000"/>
          <w:sz w:val="24"/>
          <w:szCs w:val="24"/>
        </w:rPr>
        <w:t xml:space="preserve"> of forward-looking disclosure is increased</w:t>
      </w:r>
      <w:r w:rsidR="007708C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what other </w:t>
      </w:r>
      <w:r w:rsidR="00F073B4">
        <w:rPr>
          <w:rFonts w:ascii="Times New Roman" w:eastAsia="Times New Roman" w:hAnsi="Times New Roman" w:cs="Times New Roman"/>
          <w:color w:val="000000"/>
          <w:sz w:val="24"/>
          <w:szCs w:val="24"/>
        </w:rPr>
        <w:t xml:space="preserve">types </w:t>
      </w:r>
      <w:r>
        <w:rPr>
          <w:rFonts w:ascii="Times New Roman" w:eastAsia="Times New Roman" w:hAnsi="Times New Roman" w:cs="Times New Roman"/>
          <w:color w:val="000000"/>
          <w:sz w:val="24"/>
          <w:szCs w:val="24"/>
        </w:rPr>
        <w:t xml:space="preserve">of forward-looking disclosure potentially decreased. </w:t>
      </w:r>
      <w:r w:rsidR="00CC5C3F">
        <w:rPr>
          <w:rFonts w:ascii="Times New Roman" w:eastAsia="Times New Roman" w:hAnsi="Times New Roman" w:cs="Times New Roman"/>
          <w:color w:val="000000"/>
          <w:sz w:val="24"/>
          <w:szCs w:val="24"/>
        </w:rPr>
        <w:t>We predict that t</w:t>
      </w:r>
      <w:r w:rsidR="00CC5C3F">
        <w:rPr>
          <w:rFonts w:ascii="Times New Roman" w:hAnsi="Times New Roman" w:cs="Times New Roman"/>
          <w:color w:val="1C1E29"/>
          <w:sz w:val="24"/>
          <w:szCs w:val="24"/>
        </w:rPr>
        <w:t xml:space="preserve">he confirmation role by conservatism may affect managerial voluntary disclosure strategy by allowing managers to disclose more </w:t>
      </w:r>
      <w:r w:rsidR="00B16B8E">
        <w:rPr>
          <w:rFonts w:ascii="Times New Roman" w:hAnsi="Times New Roman" w:cs="Times New Roman"/>
          <w:color w:val="1C1E29"/>
          <w:sz w:val="24"/>
          <w:szCs w:val="24"/>
        </w:rPr>
        <w:t xml:space="preserve">their </w:t>
      </w:r>
      <w:r w:rsidR="00CC5C3F">
        <w:rPr>
          <w:rFonts w:ascii="Times New Roman" w:hAnsi="Times New Roman" w:cs="Times New Roman"/>
          <w:color w:val="1C1E29"/>
          <w:sz w:val="24"/>
          <w:szCs w:val="24"/>
        </w:rPr>
        <w:t xml:space="preserve">private forward-looking information to the market participants. </w:t>
      </w:r>
      <w:r w:rsidR="0055058F">
        <w:rPr>
          <w:rFonts w:ascii="Times New Roman" w:eastAsia="Times New Roman" w:hAnsi="Times New Roman" w:cs="Times New Roman"/>
          <w:color w:val="000000"/>
          <w:sz w:val="24"/>
          <w:szCs w:val="24"/>
        </w:rPr>
        <w:t xml:space="preserve">To explore this </w:t>
      </w:r>
      <w:r w:rsidR="00CC5C3F">
        <w:rPr>
          <w:rFonts w:ascii="Times New Roman" w:eastAsia="Times New Roman" w:hAnsi="Times New Roman" w:cs="Times New Roman"/>
          <w:color w:val="000000"/>
          <w:sz w:val="24"/>
          <w:szCs w:val="24"/>
        </w:rPr>
        <w:t>prediction</w:t>
      </w:r>
      <w:r w:rsidR="0055058F">
        <w:rPr>
          <w:rFonts w:ascii="Times New Roman" w:eastAsia="Times New Roman" w:hAnsi="Times New Roman" w:cs="Times New Roman"/>
          <w:color w:val="000000"/>
          <w:sz w:val="24"/>
          <w:szCs w:val="24"/>
        </w:rPr>
        <w:t>, w</w:t>
      </w:r>
      <w:r w:rsidR="00F23760">
        <w:rPr>
          <w:rFonts w:ascii="Times New Roman" w:eastAsia="Times New Roman" w:hAnsi="Times New Roman" w:cs="Times New Roman"/>
          <w:color w:val="000000"/>
          <w:sz w:val="24"/>
          <w:szCs w:val="24"/>
        </w:rPr>
        <w:t xml:space="preserve">e estimate Equation (3) for </w:t>
      </w:r>
      <w:r w:rsidR="0055058F">
        <w:rPr>
          <w:rFonts w:ascii="Times New Roman" w:eastAsia="Times New Roman" w:hAnsi="Times New Roman" w:cs="Times New Roman"/>
          <w:color w:val="000000"/>
          <w:sz w:val="24"/>
          <w:szCs w:val="24"/>
        </w:rPr>
        <w:t xml:space="preserve">the four types of forward-looking disclosure that prior studies find informative to the market (e.g. </w:t>
      </w:r>
      <w:proofErr w:type="spellStart"/>
      <w:r w:rsidR="0055058F">
        <w:rPr>
          <w:rFonts w:ascii="Times New Roman" w:eastAsia="Times New Roman" w:hAnsi="Times New Roman" w:cs="Times New Roman"/>
          <w:color w:val="000000"/>
          <w:sz w:val="24"/>
          <w:szCs w:val="24"/>
        </w:rPr>
        <w:t>Bushee</w:t>
      </w:r>
      <w:proofErr w:type="spellEnd"/>
      <w:r w:rsidR="0055058F">
        <w:rPr>
          <w:rFonts w:ascii="Times New Roman" w:eastAsia="Times New Roman" w:hAnsi="Times New Roman" w:cs="Times New Roman"/>
          <w:color w:val="000000"/>
          <w:sz w:val="24"/>
          <w:szCs w:val="24"/>
        </w:rPr>
        <w:t xml:space="preserve"> and Huang 2019; </w:t>
      </w:r>
      <w:proofErr w:type="spellStart"/>
      <w:r w:rsidR="0055058F">
        <w:rPr>
          <w:rFonts w:ascii="Times New Roman" w:eastAsia="Times New Roman" w:hAnsi="Times New Roman" w:cs="Times New Roman"/>
          <w:color w:val="000000"/>
          <w:sz w:val="24"/>
          <w:szCs w:val="24"/>
        </w:rPr>
        <w:t>Bozanic</w:t>
      </w:r>
      <w:proofErr w:type="spellEnd"/>
      <w:r w:rsidR="0055058F">
        <w:rPr>
          <w:rFonts w:ascii="Times New Roman" w:eastAsia="Times New Roman" w:hAnsi="Times New Roman" w:cs="Times New Roman"/>
          <w:color w:val="000000"/>
          <w:sz w:val="24"/>
          <w:szCs w:val="24"/>
        </w:rPr>
        <w:t xml:space="preserve"> et al. 2018; Matsumoto et al. 2011), including (1) </w:t>
      </w:r>
      <w:r w:rsidR="0055058F">
        <w:rPr>
          <w:rFonts w:ascii="Times New Roman" w:hAnsi="Times New Roman" w:cs="Times New Roman"/>
          <w:color w:val="1C1E29"/>
          <w:sz w:val="24"/>
          <w:szCs w:val="24"/>
        </w:rPr>
        <w:t>positive- (</w:t>
      </w:r>
      <w:r w:rsidR="0055058F" w:rsidRPr="00303E5D">
        <w:rPr>
          <w:rFonts w:ascii="Times New Roman" w:hAnsi="Times New Roman" w:cs="Times New Roman"/>
          <w:i/>
          <w:color w:val="1C1E29"/>
          <w:sz w:val="24"/>
          <w:szCs w:val="24"/>
        </w:rPr>
        <w:t>POS_FWLs</w:t>
      </w:r>
      <w:r w:rsidR="0055058F">
        <w:rPr>
          <w:rFonts w:ascii="Times New Roman" w:hAnsi="Times New Roman" w:cs="Times New Roman"/>
          <w:color w:val="1C1E29"/>
          <w:sz w:val="24"/>
          <w:szCs w:val="24"/>
        </w:rPr>
        <w:t>) versus negative- (</w:t>
      </w:r>
      <w:r w:rsidR="0055058F" w:rsidRPr="00303E5D">
        <w:rPr>
          <w:rFonts w:ascii="Times New Roman" w:hAnsi="Times New Roman" w:cs="Times New Roman"/>
          <w:i/>
          <w:color w:val="1C1E29"/>
          <w:sz w:val="24"/>
          <w:szCs w:val="24"/>
        </w:rPr>
        <w:t>NEG_FWLs</w:t>
      </w:r>
      <w:r w:rsidR="0055058F">
        <w:rPr>
          <w:rFonts w:ascii="Times New Roman" w:hAnsi="Times New Roman" w:cs="Times New Roman"/>
          <w:color w:val="1C1E29"/>
          <w:sz w:val="24"/>
          <w:szCs w:val="24"/>
        </w:rPr>
        <w:t>) tone forward-looking statements, (2) quantitative (</w:t>
      </w:r>
      <w:r w:rsidR="0055058F" w:rsidRPr="00303E5D">
        <w:rPr>
          <w:rFonts w:ascii="Times New Roman" w:hAnsi="Times New Roman" w:cs="Times New Roman"/>
          <w:i/>
          <w:color w:val="1C1E29"/>
          <w:sz w:val="24"/>
          <w:szCs w:val="24"/>
        </w:rPr>
        <w:t>QNT_FWLs</w:t>
      </w:r>
      <w:r w:rsidR="0055058F">
        <w:rPr>
          <w:rFonts w:ascii="Times New Roman" w:hAnsi="Times New Roman" w:cs="Times New Roman"/>
          <w:color w:val="1C1E29"/>
          <w:sz w:val="24"/>
          <w:szCs w:val="24"/>
        </w:rPr>
        <w:t>) versus non-quantitative (</w:t>
      </w:r>
      <w:r w:rsidR="0055058F" w:rsidRPr="00303E5D">
        <w:rPr>
          <w:rFonts w:ascii="Times New Roman" w:hAnsi="Times New Roman" w:cs="Times New Roman"/>
          <w:i/>
          <w:color w:val="1C1E29"/>
          <w:sz w:val="24"/>
          <w:szCs w:val="24"/>
        </w:rPr>
        <w:t>NQT_FWLs</w:t>
      </w:r>
      <w:r w:rsidR="0055058F">
        <w:rPr>
          <w:rFonts w:ascii="Times New Roman" w:hAnsi="Times New Roman" w:cs="Times New Roman"/>
          <w:color w:val="1C1E29"/>
          <w:sz w:val="24"/>
          <w:szCs w:val="24"/>
        </w:rPr>
        <w:t>) forward-looking statements, (3)</w:t>
      </w:r>
      <w:r w:rsidR="0055058F" w:rsidRPr="0055058F">
        <w:rPr>
          <w:rFonts w:ascii="Times New Roman" w:hAnsi="Times New Roman" w:cs="Times New Roman"/>
          <w:color w:val="1C1E29"/>
          <w:sz w:val="24"/>
          <w:szCs w:val="24"/>
        </w:rPr>
        <w:t xml:space="preserve"> </w:t>
      </w:r>
      <w:r w:rsidR="0055058F">
        <w:rPr>
          <w:rFonts w:ascii="Times New Roman" w:hAnsi="Times New Roman" w:cs="Times New Roman"/>
          <w:color w:val="1C1E29"/>
          <w:sz w:val="24"/>
          <w:szCs w:val="24"/>
        </w:rPr>
        <w:t>earnings-related (</w:t>
      </w:r>
      <w:r w:rsidR="0055058F" w:rsidRPr="00A943A0">
        <w:rPr>
          <w:rFonts w:ascii="Times New Roman" w:hAnsi="Times New Roman" w:cs="Times New Roman"/>
          <w:i/>
          <w:color w:val="1C1E29"/>
          <w:sz w:val="24"/>
          <w:szCs w:val="24"/>
        </w:rPr>
        <w:t>ERN_FWLs</w:t>
      </w:r>
      <w:r w:rsidR="0055058F">
        <w:rPr>
          <w:rFonts w:ascii="Times New Roman" w:hAnsi="Times New Roman" w:cs="Times New Roman"/>
          <w:color w:val="1C1E29"/>
          <w:sz w:val="24"/>
          <w:szCs w:val="24"/>
        </w:rPr>
        <w:t>) versus non-earnings related (</w:t>
      </w:r>
      <w:r w:rsidR="0055058F" w:rsidRPr="00A943A0">
        <w:rPr>
          <w:rFonts w:ascii="Times New Roman" w:hAnsi="Times New Roman" w:cs="Times New Roman"/>
          <w:i/>
          <w:color w:val="1C1E29"/>
          <w:sz w:val="24"/>
          <w:szCs w:val="24"/>
        </w:rPr>
        <w:t>NRN_FWLs</w:t>
      </w:r>
      <w:r w:rsidR="0055058F">
        <w:rPr>
          <w:rFonts w:ascii="Times New Roman" w:hAnsi="Times New Roman" w:cs="Times New Roman"/>
          <w:color w:val="1C1E29"/>
          <w:sz w:val="24"/>
          <w:szCs w:val="24"/>
        </w:rPr>
        <w:t>) ones, and (4) financial (</w:t>
      </w:r>
      <w:r w:rsidR="0055058F" w:rsidRPr="00262A72">
        <w:rPr>
          <w:rFonts w:ascii="Times New Roman" w:hAnsi="Times New Roman" w:cs="Times New Roman"/>
          <w:i/>
          <w:color w:val="1C1E29"/>
          <w:sz w:val="24"/>
          <w:szCs w:val="24"/>
        </w:rPr>
        <w:t>FIN_FWLs</w:t>
      </w:r>
      <w:r w:rsidR="0055058F">
        <w:rPr>
          <w:rFonts w:ascii="Times New Roman" w:hAnsi="Times New Roman" w:cs="Times New Roman"/>
          <w:color w:val="1C1E29"/>
          <w:sz w:val="24"/>
          <w:szCs w:val="24"/>
        </w:rPr>
        <w:t>) versus non-financial (</w:t>
      </w:r>
      <w:r w:rsidR="0055058F" w:rsidRPr="00262A72">
        <w:rPr>
          <w:rFonts w:ascii="Times New Roman" w:hAnsi="Times New Roman" w:cs="Times New Roman"/>
          <w:i/>
          <w:color w:val="1C1E29"/>
          <w:sz w:val="24"/>
          <w:szCs w:val="24"/>
        </w:rPr>
        <w:t>NFN_FWLs</w:t>
      </w:r>
      <w:r w:rsidR="0055058F">
        <w:rPr>
          <w:rFonts w:ascii="Times New Roman" w:hAnsi="Times New Roman" w:cs="Times New Roman"/>
          <w:color w:val="1C1E29"/>
          <w:sz w:val="24"/>
          <w:szCs w:val="24"/>
        </w:rPr>
        <w:t>)</w:t>
      </w:r>
      <w:r w:rsidR="0083594C">
        <w:rPr>
          <w:rFonts w:ascii="Times New Roman" w:hAnsi="Times New Roman" w:cs="Times New Roman"/>
          <w:color w:val="1C1E29"/>
          <w:sz w:val="24"/>
          <w:szCs w:val="24"/>
        </w:rPr>
        <w:t xml:space="preserve"> forward-looking disclosure. Whether conservatism increases or decreases a certain type of forward-looking stat</w:t>
      </w:r>
      <w:r w:rsidR="00CC5C3F">
        <w:rPr>
          <w:rFonts w:ascii="Times New Roman" w:hAnsi="Times New Roman" w:cs="Times New Roman"/>
          <w:color w:val="1C1E29"/>
          <w:sz w:val="24"/>
          <w:szCs w:val="24"/>
        </w:rPr>
        <w:t>ements remain</w:t>
      </w:r>
      <w:r w:rsidR="00F073B4">
        <w:rPr>
          <w:rFonts w:ascii="Times New Roman" w:hAnsi="Times New Roman" w:cs="Times New Roman"/>
          <w:color w:val="1C1E29"/>
          <w:sz w:val="24"/>
          <w:szCs w:val="24"/>
        </w:rPr>
        <w:t>s</w:t>
      </w:r>
      <w:r w:rsidR="00CC5C3F">
        <w:rPr>
          <w:rFonts w:ascii="Times New Roman" w:hAnsi="Times New Roman" w:cs="Times New Roman"/>
          <w:color w:val="1C1E29"/>
          <w:sz w:val="24"/>
          <w:szCs w:val="24"/>
        </w:rPr>
        <w:t xml:space="preserve"> an open question. </w:t>
      </w:r>
    </w:p>
    <w:p w14:paraId="499501EA" w14:textId="706CC388" w:rsidR="00B3098A" w:rsidRDefault="0083594C"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A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xml:space="preserve">, we show </w:t>
      </w:r>
      <w:r w:rsidR="00FE7302">
        <w:rPr>
          <w:rFonts w:ascii="Times New Roman" w:hAnsi="Times New Roman" w:cs="Times New Roman"/>
          <w:color w:val="1C1E29"/>
          <w:sz w:val="24"/>
          <w:szCs w:val="24"/>
        </w:rPr>
        <w:t xml:space="preserve">our </w:t>
      </w:r>
      <w:r>
        <w:rPr>
          <w:rFonts w:ascii="Times New Roman" w:hAnsi="Times New Roman" w:cs="Times New Roman"/>
          <w:color w:val="1C1E29"/>
          <w:sz w:val="24"/>
          <w:szCs w:val="24"/>
        </w:rPr>
        <w:t>regression</w:t>
      </w:r>
      <w:r w:rsidR="00FE7302">
        <w:rPr>
          <w:rFonts w:ascii="Times New Roman" w:hAnsi="Times New Roman" w:cs="Times New Roman"/>
          <w:color w:val="1C1E29"/>
          <w:sz w:val="24"/>
          <w:szCs w:val="24"/>
        </w:rPr>
        <w:t xml:space="preserve"> results </w:t>
      </w:r>
      <w:r>
        <w:rPr>
          <w:rFonts w:ascii="Times New Roman" w:hAnsi="Times New Roman" w:cs="Times New Roman"/>
          <w:color w:val="1C1E29"/>
          <w:sz w:val="24"/>
          <w:szCs w:val="24"/>
        </w:rPr>
        <w:t>where the dependent variable is the percentage of positive-</w:t>
      </w:r>
      <w:r w:rsidR="00613FCE">
        <w:rPr>
          <w:rFonts w:ascii="Times New Roman" w:hAnsi="Times New Roman" w:cs="Times New Roman"/>
          <w:color w:val="1C1E29"/>
          <w:sz w:val="24"/>
          <w:szCs w:val="24"/>
        </w:rPr>
        <w:t xml:space="preserve"> or negative-</w:t>
      </w:r>
      <w:r>
        <w:rPr>
          <w:rFonts w:ascii="Times New Roman" w:hAnsi="Times New Roman" w:cs="Times New Roman"/>
          <w:color w:val="1C1E29"/>
          <w:sz w:val="24"/>
          <w:szCs w:val="24"/>
        </w:rPr>
        <w:t xml:space="preserve">tone forward-looking statements in the </w:t>
      </w:r>
      <w:r w:rsidR="00613FCE">
        <w:rPr>
          <w:rFonts w:ascii="Times New Roman" w:hAnsi="Times New Roman" w:cs="Times New Roman"/>
          <w:color w:val="1C1E29"/>
          <w:sz w:val="24"/>
          <w:szCs w:val="24"/>
        </w:rPr>
        <w:t xml:space="preserve">managerial </w:t>
      </w:r>
      <w:r>
        <w:rPr>
          <w:rFonts w:ascii="Times New Roman" w:hAnsi="Times New Roman" w:cs="Times New Roman"/>
          <w:color w:val="1C1E29"/>
          <w:sz w:val="24"/>
          <w:szCs w:val="24"/>
        </w:rPr>
        <w:t xml:space="preserve">presentation and </w:t>
      </w:r>
      <w:proofErr w:type="gramStart"/>
      <w:r w:rsidR="00613FCE">
        <w:rPr>
          <w:rFonts w:ascii="Times New Roman" w:hAnsi="Times New Roman" w:cs="Times New Roman"/>
          <w:color w:val="1C1E29"/>
          <w:sz w:val="24"/>
          <w:szCs w:val="24"/>
        </w:rPr>
        <w:t>answers’</w:t>
      </w:r>
      <w:proofErr w:type="gramEnd"/>
      <w:r w:rsidR="00613FCE">
        <w:rPr>
          <w:rFonts w:ascii="Times New Roman" w:hAnsi="Times New Roman" w:cs="Times New Roman"/>
          <w:color w:val="1C1E29"/>
          <w:sz w:val="24"/>
          <w:szCs w:val="24"/>
        </w:rPr>
        <w:t xml:space="preserve"> to analysts’ questions in the calls</w:t>
      </w:r>
      <w:r w:rsidR="00F16052">
        <w:rPr>
          <w:rFonts w:ascii="Times New Roman" w:hAnsi="Times New Roman" w:cs="Times New Roman"/>
          <w:color w:val="1C1E29"/>
          <w:sz w:val="24"/>
          <w:szCs w:val="24"/>
        </w:rPr>
        <w:t xml:space="preserve"> on average for the year</w:t>
      </w:r>
      <w:r w:rsidR="00613FCE">
        <w:rPr>
          <w:rFonts w:ascii="Times New Roman" w:hAnsi="Times New Roman" w:cs="Times New Roman"/>
          <w:color w:val="1C1E29"/>
          <w:sz w:val="24"/>
          <w:szCs w:val="24"/>
        </w:rPr>
        <w:t xml:space="preserve">. </w:t>
      </w:r>
      <w:r w:rsidR="00FE7302">
        <w:rPr>
          <w:rFonts w:ascii="Times New Roman" w:hAnsi="Times New Roman" w:cs="Times New Roman"/>
          <w:color w:val="1C1E29"/>
          <w:sz w:val="24"/>
          <w:szCs w:val="24"/>
        </w:rPr>
        <w:t xml:space="preserve">We again </w:t>
      </w:r>
      <w:proofErr w:type="spellStart"/>
      <w:r w:rsidR="00FE7302">
        <w:rPr>
          <w:rFonts w:ascii="Times New Roman" w:hAnsi="Times New Roman" w:cs="Times New Roman"/>
          <w:color w:val="1C1E29"/>
          <w:sz w:val="24"/>
          <w:szCs w:val="24"/>
        </w:rPr>
        <w:t>winsorize</w:t>
      </w:r>
      <w:proofErr w:type="spellEnd"/>
      <w:r w:rsidR="00FE7302">
        <w:rPr>
          <w:rFonts w:ascii="Times New Roman" w:hAnsi="Times New Roman" w:cs="Times New Roman"/>
          <w:color w:val="1C1E29"/>
          <w:sz w:val="24"/>
          <w:szCs w:val="24"/>
        </w:rPr>
        <w:t xml:space="preserve"> the top and bottom 1 percent of all variables and include firm fixed effect in our analysis. The coefficient </w:t>
      </w:r>
      <w:r w:rsidR="00FE7302">
        <w:rPr>
          <w:rFonts w:ascii="Times New Roman" w:hAnsi="Times New Roman" w:cs="Times New Roman"/>
          <w:color w:val="1C1E29"/>
          <w:sz w:val="24"/>
          <w:szCs w:val="24"/>
        </w:rPr>
        <w:lastRenderedPageBreak/>
        <w:t xml:space="preserve">on </w:t>
      </w:r>
      <w:r w:rsidR="00CB1DCA">
        <w:rPr>
          <w:rFonts w:ascii="Times New Roman" w:hAnsi="Times New Roman" w:cs="Times New Roman"/>
          <w:color w:val="1C1E29"/>
          <w:sz w:val="24"/>
          <w:szCs w:val="24"/>
        </w:rPr>
        <w:t>conservatism (</w:t>
      </w:r>
      <w:r w:rsidR="00FE7302" w:rsidRPr="00FE7302">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w:t>
      </w:r>
      <w:r w:rsidR="00FE7302">
        <w:rPr>
          <w:rFonts w:ascii="Times New Roman" w:hAnsi="Times New Roman" w:cs="Times New Roman"/>
          <w:color w:val="1C1E29"/>
          <w:sz w:val="24"/>
          <w:szCs w:val="24"/>
        </w:rPr>
        <w:t xml:space="preserve"> is significantly positive in Column (1). </w:t>
      </w:r>
      <w:r w:rsidR="00F073B4">
        <w:rPr>
          <w:rFonts w:ascii="Times New Roman" w:hAnsi="Times New Roman" w:cs="Times New Roman"/>
          <w:color w:val="1C1E29"/>
          <w:sz w:val="24"/>
          <w:szCs w:val="24"/>
        </w:rPr>
        <w:t>This result</w:t>
      </w:r>
      <w:r w:rsidR="00FE7302">
        <w:rPr>
          <w:rFonts w:ascii="Times New Roman" w:hAnsi="Times New Roman" w:cs="Times New Roman"/>
          <w:color w:val="1C1E29"/>
          <w:sz w:val="24"/>
          <w:szCs w:val="24"/>
        </w:rPr>
        <w:t xml:space="preserve"> suggests that when the firms have </w:t>
      </w:r>
      <w:r w:rsidR="00F073B4">
        <w:rPr>
          <w:rFonts w:ascii="Times New Roman" w:hAnsi="Times New Roman" w:cs="Times New Roman"/>
          <w:color w:val="1C1E29"/>
          <w:sz w:val="24"/>
          <w:szCs w:val="24"/>
        </w:rPr>
        <w:t xml:space="preserve">a </w:t>
      </w:r>
      <w:r w:rsidR="00FE7302">
        <w:rPr>
          <w:rFonts w:ascii="Times New Roman" w:hAnsi="Times New Roman" w:cs="Times New Roman"/>
          <w:color w:val="1C1E29"/>
          <w:sz w:val="24"/>
          <w:szCs w:val="24"/>
        </w:rPr>
        <w:t xml:space="preserve">more conservative reporting policy, their managers tend to disclose more positive-tone, forward-looking statements in the calls. This finding is consistent with recent research (e.g. </w:t>
      </w:r>
      <w:proofErr w:type="spellStart"/>
      <w:r w:rsidR="00FE7302">
        <w:rPr>
          <w:rFonts w:ascii="Times New Roman" w:hAnsi="Times New Roman" w:cs="Times New Roman"/>
          <w:color w:val="1C1E29"/>
          <w:sz w:val="24"/>
          <w:szCs w:val="24"/>
        </w:rPr>
        <w:t>Bushee</w:t>
      </w:r>
      <w:proofErr w:type="spellEnd"/>
      <w:r w:rsidR="00FE7302">
        <w:rPr>
          <w:rFonts w:ascii="Times New Roman" w:hAnsi="Times New Roman" w:cs="Times New Roman"/>
          <w:color w:val="1C1E29"/>
          <w:sz w:val="24"/>
          <w:szCs w:val="24"/>
        </w:rPr>
        <w:t xml:space="preserve"> and Huang 2019) and the survey evidence from the executives (Graham et al. 2005) that managers use the conference calls to communicate their private information about the firm future growth. </w:t>
      </w:r>
      <w:r w:rsidR="00CB1DCA">
        <w:rPr>
          <w:rFonts w:ascii="Times New Roman" w:hAnsi="Times New Roman" w:cs="Times New Roman"/>
          <w:color w:val="1C1E29"/>
          <w:sz w:val="24"/>
          <w:szCs w:val="24"/>
        </w:rPr>
        <w:t xml:space="preserve">We also find in Column (2), the coefficient on </w:t>
      </w:r>
      <w:r w:rsidR="00CB1DCA" w:rsidRPr="00CB1DCA">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 xml:space="preserve"> is significantly negative in estimating negative-</w:t>
      </w:r>
      <w:r w:rsidR="003253FB">
        <w:rPr>
          <w:rFonts w:ascii="Times New Roman" w:hAnsi="Times New Roman" w:cs="Times New Roman"/>
          <w:color w:val="1C1E29"/>
          <w:sz w:val="24"/>
          <w:szCs w:val="24"/>
        </w:rPr>
        <w:t xml:space="preserve">tone forward-looking statements, which suggests that conservatism is associated with reduced forward-looking statements containing negative-tone words. This result is consistent with Hui et al. (2009) who find </w:t>
      </w:r>
      <w:r w:rsidR="003253FB" w:rsidRPr="003253FB">
        <w:rPr>
          <w:rFonts w:ascii="Times New Roman" w:hAnsi="Times New Roman" w:cs="Times New Roman"/>
          <w:color w:val="1C1E29"/>
          <w:sz w:val="24"/>
          <w:szCs w:val="24"/>
        </w:rPr>
        <w:t>a negative association between conservatism and management forecasts.</w:t>
      </w:r>
      <w:r w:rsidR="003253FB">
        <w:rPr>
          <w:rFonts w:ascii="Times New Roman" w:hAnsi="Times New Roman" w:cs="Times New Roman"/>
          <w:color w:val="1C1E29"/>
          <w:sz w:val="24"/>
          <w:szCs w:val="24"/>
        </w:rPr>
        <w:t xml:space="preserve"> Because conservatism decreases the expected benefit of issuing a management forecast, conservatism may have a substitute effect for management forecasts (Hui et al. 2009). However, Hui et al. (2009) only examine quantitative management earnings forecasts. </w:t>
      </w:r>
      <w:r w:rsidR="00B3098A">
        <w:rPr>
          <w:rFonts w:ascii="Times New Roman" w:hAnsi="Times New Roman" w:cs="Times New Roman"/>
          <w:color w:val="1C1E29"/>
          <w:sz w:val="24"/>
          <w:szCs w:val="24"/>
        </w:rPr>
        <w:t>Managers can deliver their private information to the market without issuing quantitative earnings forecasts (</w:t>
      </w:r>
      <w:proofErr w:type="spellStart"/>
      <w:r w:rsidR="00B3098A">
        <w:rPr>
          <w:rFonts w:ascii="Times New Roman" w:hAnsi="Times New Roman" w:cs="Times New Roman"/>
          <w:color w:val="1C1E29"/>
          <w:sz w:val="24"/>
          <w:szCs w:val="24"/>
        </w:rPr>
        <w:t>Bozanic</w:t>
      </w:r>
      <w:proofErr w:type="spellEnd"/>
      <w:r w:rsidR="00B3098A">
        <w:rPr>
          <w:rFonts w:ascii="Times New Roman" w:hAnsi="Times New Roman" w:cs="Times New Roman"/>
          <w:color w:val="1C1E29"/>
          <w:sz w:val="24"/>
          <w:szCs w:val="24"/>
        </w:rPr>
        <w:t xml:space="preserve"> et al. 2018; Graham et al. 2005). Our results suggest that managers may reduce </w:t>
      </w:r>
      <w:r w:rsidR="00956249">
        <w:rPr>
          <w:rFonts w:ascii="Times New Roman" w:hAnsi="Times New Roman" w:cs="Times New Roman"/>
          <w:color w:val="1C1E29"/>
          <w:sz w:val="24"/>
          <w:szCs w:val="24"/>
        </w:rPr>
        <w:t xml:space="preserve">bad news </w:t>
      </w:r>
      <w:r w:rsidR="00CC5C3F">
        <w:rPr>
          <w:rFonts w:ascii="Times New Roman" w:hAnsi="Times New Roman" w:cs="Times New Roman"/>
          <w:color w:val="1C1E29"/>
          <w:sz w:val="24"/>
          <w:szCs w:val="24"/>
        </w:rPr>
        <w:t>forecast-like disclosure</w:t>
      </w:r>
      <w:r w:rsidR="00956249">
        <w:rPr>
          <w:rFonts w:ascii="Times New Roman" w:hAnsi="Times New Roman" w:cs="Times New Roman"/>
          <w:color w:val="1C1E29"/>
          <w:sz w:val="24"/>
          <w:szCs w:val="24"/>
        </w:rPr>
        <w:t xml:space="preserve"> by </w:t>
      </w:r>
      <w:r w:rsidR="00CC5C3F">
        <w:rPr>
          <w:rFonts w:ascii="Times New Roman" w:hAnsi="Times New Roman" w:cs="Times New Roman"/>
          <w:color w:val="1C1E29"/>
          <w:sz w:val="24"/>
          <w:szCs w:val="24"/>
        </w:rPr>
        <w:t>using fewer</w:t>
      </w:r>
      <w:r w:rsidR="00B3098A">
        <w:rPr>
          <w:rFonts w:ascii="Times New Roman" w:hAnsi="Times New Roman" w:cs="Times New Roman"/>
          <w:color w:val="1C1E29"/>
          <w:sz w:val="24"/>
          <w:szCs w:val="24"/>
        </w:rPr>
        <w:t xml:space="preserve"> negative-tone forward-looking statements, but they increase their </w:t>
      </w:r>
      <w:r w:rsidR="00CC5C3F">
        <w:rPr>
          <w:rFonts w:ascii="Times New Roman" w:hAnsi="Times New Roman" w:cs="Times New Roman"/>
          <w:color w:val="1C1E29"/>
          <w:sz w:val="24"/>
          <w:szCs w:val="24"/>
        </w:rPr>
        <w:t xml:space="preserve">good news disclosure by using more </w:t>
      </w:r>
      <w:r w:rsidR="00B3098A">
        <w:rPr>
          <w:rFonts w:ascii="Times New Roman" w:hAnsi="Times New Roman" w:cs="Times New Roman"/>
          <w:color w:val="1C1E29"/>
          <w:sz w:val="24"/>
          <w:szCs w:val="24"/>
        </w:rPr>
        <w:t xml:space="preserve">positive-tone </w:t>
      </w:r>
      <w:r w:rsidR="00CC5C3F">
        <w:rPr>
          <w:rFonts w:ascii="Times New Roman" w:hAnsi="Times New Roman" w:cs="Times New Roman"/>
          <w:color w:val="1C1E29"/>
          <w:sz w:val="24"/>
          <w:szCs w:val="24"/>
        </w:rPr>
        <w:t>prospective sentences</w:t>
      </w:r>
      <w:r w:rsidR="00B3098A">
        <w:rPr>
          <w:rFonts w:ascii="Times New Roman" w:hAnsi="Times New Roman" w:cs="Times New Roman"/>
          <w:color w:val="1C1E29"/>
          <w:sz w:val="24"/>
          <w:szCs w:val="24"/>
        </w:rPr>
        <w:t xml:space="preserve"> to deliver their private information about the firm future growth. </w:t>
      </w:r>
      <w:r w:rsidR="002835F1">
        <w:rPr>
          <w:rFonts w:ascii="Times New Roman" w:hAnsi="Times New Roman" w:cs="Times New Roman"/>
          <w:color w:val="1C1E29"/>
          <w:sz w:val="24"/>
          <w:szCs w:val="24"/>
        </w:rPr>
        <w:t xml:space="preserve">These results are consistent with findings by Li (2010) who </w:t>
      </w:r>
      <w:r w:rsidR="00F073B4">
        <w:rPr>
          <w:rFonts w:ascii="Times New Roman" w:hAnsi="Times New Roman" w:cs="Times New Roman"/>
          <w:color w:val="1C1E29"/>
          <w:sz w:val="24"/>
          <w:szCs w:val="24"/>
        </w:rPr>
        <w:t xml:space="preserve">examines </w:t>
      </w:r>
      <w:r w:rsidR="002835F1">
        <w:rPr>
          <w:rFonts w:ascii="Times New Roman" w:hAnsi="Times New Roman" w:cs="Times New Roman"/>
          <w:color w:val="1C1E29"/>
          <w:sz w:val="24"/>
          <w:szCs w:val="24"/>
        </w:rPr>
        <w:t>forward-looking statements in the MD&amp;A section of SEC filings and find</w:t>
      </w:r>
      <w:r w:rsidR="00F073B4">
        <w:rPr>
          <w:rFonts w:ascii="Times New Roman" w:hAnsi="Times New Roman" w:cs="Times New Roman"/>
          <w:color w:val="1C1E29"/>
          <w:sz w:val="24"/>
          <w:szCs w:val="24"/>
        </w:rPr>
        <w:t>s</w:t>
      </w:r>
      <w:r w:rsidR="002835F1">
        <w:rPr>
          <w:rFonts w:ascii="Times New Roman" w:hAnsi="Times New Roman" w:cs="Times New Roman"/>
          <w:color w:val="1C1E29"/>
          <w:sz w:val="24"/>
          <w:szCs w:val="24"/>
        </w:rPr>
        <w:t xml:space="preserve"> that the tone of forward-looking statements is informative about future performance. </w:t>
      </w:r>
    </w:p>
    <w:p w14:paraId="77369A51" w14:textId="26A4A86C" w:rsidR="00CC5C3F" w:rsidRDefault="00CC5C3F"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B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we present our results in estimating the impact of conservative accounting on non-quantitative (</w:t>
      </w:r>
      <w:r w:rsidRPr="00CC5C3F">
        <w:rPr>
          <w:rFonts w:ascii="Times New Roman" w:hAnsi="Times New Roman" w:cs="Times New Roman"/>
          <w:i/>
          <w:color w:val="1C1E29"/>
          <w:sz w:val="24"/>
          <w:szCs w:val="24"/>
        </w:rPr>
        <w:t>NQT_FWLs</w:t>
      </w:r>
      <w:r>
        <w:rPr>
          <w:rFonts w:ascii="Times New Roman" w:hAnsi="Times New Roman" w:cs="Times New Roman"/>
          <w:color w:val="1C1E29"/>
          <w:sz w:val="24"/>
          <w:szCs w:val="24"/>
        </w:rPr>
        <w:t>) versus quantitative forward-looking (</w:t>
      </w:r>
      <w:r w:rsidRPr="00CC5C3F">
        <w:rPr>
          <w:rFonts w:ascii="Times New Roman" w:hAnsi="Times New Roman" w:cs="Times New Roman"/>
          <w:i/>
          <w:color w:val="1C1E29"/>
          <w:sz w:val="24"/>
          <w:szCs w:val="24"/>
        </w:rPr>
        <w:t>QNT_FWLs</w:t>
      </w:r>
      <w:r>
        <w:rPr>
          <w:rFonts w:ascii="Times New Roman" w:hAnsi="Times New Roman" w:cs="Times New Roman"/>
          <w:color w:val="1C1E29"/>
          <w:sz w:val="24"/>
          <w:szCs w:val="24"/>
        </w:rPr>
        <w:t xml:space="preserve">) disclosure. </w:t>
      </w:r>
      <w:r w:rsidR="00894C62">
        <w:rPr>
          <w:rFonts w:ascii="Times New Roman" w:hAnsi="Times New Roman" w:cs="Times New Roman"/>
          <w:color w:val="1C1E29"/>
          <w:sz w:val="24"/>
          <w:szCs w:val="24"/>
        </w:rPr>
        <w:t>We find that the coefficient on conservatism is significantly positive for non-quantitative regression but insignificant for quantitative disclosure. Th</w:t>
      </w:r>
      <w:r w:rsidR="00F073B4">
        <w:rPr>
          <w:rFonts w:ascii="Times New Roman" w:hAnsi="Times New Roman" w:cs="Times New Roman"/>
          <w:color w:val="1C1E29"/>
          <w:sz w:val="24"/>
          <w:szCs w:val="24"/>
        </w:rPr>
        <w:t xml:space="preserve">ese </w:t>
      </w:r>
      <w:r w:rsidR="00894C62">
        <w:rPr>
          <w:rFonts w:ascii="Times New Roman" w:hAnsi="Times New Roman" w:cs="Times New Roman"/>
          <w:color w:val="1C1E29"/>
          <w:sz w:val="24"/>
          <w:szCs w:val="24"/>
        </w:rPr>
        <w:t xml:space="preserve">results indicate that higher </w:t>
      </w:r>
      <w:r w:rsidR="00894C62">
        <w:rPr>
          <w:rFonts w:ascii="Times New Roman" w:hAnsi="Times New Roman" w:cs="Times New Roman"/>
          <w:color w:val="1C1E29"/>
          <w:sz w:val="24"/>
          <w:szCs w:val="24"/>
        </w:rPr>
        <w:lastRenderedPageBreak/>
        <w:t xml:space="preserve">conservatism is associated with an increase in non-quantitative forward-looking statements and </w:t>
      </w:r>
      <w:r w:rsidR="00F073B4">
        <w:rPr>
          <w:rFonts w:ascii="Times New Roman" w:hAnsi="Times New Roman" w:cs="Times New Roman"/>
          <w:color w:val="1C1E29"/>
          <w:sz w:val="24"/>
          <w:szCs w:val="24"/>
        </w:rPr>
        <w:t>is</w:t>
      </w:r>
      <w:r w:rsidR="00894C62">
        <w:rPr>
          <w:rFonts w:ascii="Times New Roman" w:hAnsi="Times New Roman" w:cs="Times New Roman"/>
          <w:color w:val="1C1E29"/>
          <w:sz w:val="24"/>
          <w:szCs w:val="24"/>
        </w:rPr>
        <w:t xml:space="preserve"> </w:t>
      </w:r>
      <w:r w:rsidR="00F073B4">
        <w:rPr>
          <w:rFonts w:ascii="Times New Roman" w:hAnsi="Times New Roman" w:cs="Times New Roman"/>
          <w:color w:val="1C1E29"/>
          <w:sz w:val="24"/>
          <w:szCs w:val="24"/>
        </w:rPr>
        <w:t>in</w:t>
      </w:r>
      <w:r w:rsidR="00894C62">
        <w:rPr>
          <w:rFonts w:ascii="Times New Roman" w:hAnsi="Times New Roman" w:cs="Times New Roman"/>
          <w:color w:val="1C1E29"/>
          <w:sz w:val="24"/>
          <w:szCs w:val="24"/>
        </w:rPr>
        <w:t>differen</w:t>
      </w:r>
      <w:r w:rsidR="00F073B4">
        <w:rPr>
          <w:rFonts w:ascii="Times New Roman" w:hAnsi="Times New Roman" w:cs="Times New Roman"/>
          <w:color w:val="1C1E29"/>
          <w:sz w:val="24"/>
          <w:szCs w:val="24"/>
        </w:rPr>
        <w:t>t</w:t>
      </w:r>
      <w:r w:rsidR="00894C62">
        <w:rPr>
          <w:rFonts w:ascii="Times New Roman" w:hAnsi="Times New Roman" w:cs="Times New Roman"/>
          <w:color w:val="1C1E29"/>
          <w:sz w:val="24"/>
          <w:szCs w:val="24"/>
        </w:rPr>
        <w:t xml:space="preserve"> in managerial quantitative disclosure. </w:t>
      </w:r>
      <w:r w:rsidR="009B771C">
        <w:rPr>
          <w:rFonts w:ascii="Times New Roman" w:hAnsi="Times New Roman" w:cs="Times New Roman"/>
          <w:color w:val="1C1E29"/>
          <w:sz w:val="24"/>
          <w:szCs w:val="24"/>
        </w:rPr>
        <w:t>Th</w:t>
      </w:r>
      <w:r w:rsidR="00F073B4">
        <w:rPr>
          <w:rFonts w:ascii="Times New Roman" w:hAnsi="Times New Roman" w:cs="Times New Roman"/>
          <w:color w:val="1C1E29"/>
          <w:sz w:val="24"/>
          <w:szCs w:val="24"/>
        </w:rPr>
        <w:t xml:space="preserve">ese </w:t>
      </w:r>
      <w:r w:rsidR="009B771C">
        <w:rPr>
          <w:rFonts w:ascii="Times New Roman" w:hAnsi="Times New Roman" w:cs="Times New Roman"/>
          <w:color w:val="1C1E29"/>
          <w:sz w:val="24"/>
          <w:szCs w:val="24"/>
        </w:rPr>
        <w:t xml:space="preserve">results are consistent with the findings by </w:t>
      </w:r>
      <w:proofErr w:type="spellStart"/>
      <w:r w:rsidR="009B771C">
        <w:rPr>
          <w:rFonts w:ascii="Times New Roman" w:hAnsi="Times New Roman" w:cs="Times New Roman"/>
          <w:color w:val="1C1E29"/>
          <w:sz w:val="24"/>
          <w:szCs w:val="24"/>
        </w:rPr>
        <w:t>Bozanic</w:t>
      </w:r>
      <w:proofErr w:type="spellEnd"/>
      <w:r w:rsidR="009B771C">
        <w:rPr>
          <w:rFonts w:ascii="Times New Roman" w:hAnsi="Times New Roman" w:cs="Times New Roman"/>
          <w:color w:val="1C1E29"/>
          <w:sz w:val="24"/>
          <w:szCs w:val="24"/>
        </w:rPr>
        <w:t xml:space="preserve"> et al. (2018) that managers frequently use qualitative, forecast-like disclosure in their earnings</w:t>
      </w:r>
      <w:r w:rsidR="00B14ECE">
        <w:rPr>
          <w:rFonts w:ascii="Times New Roman" w:hAnsi="Times New Roman" w:cs="Times New Roman"/>
          <w:color w:val="1C1E29"/>
          <w:sz w:val="24"/>
          <w:szCs w:val="24"/>
        </w:rPr>
        <w:t xml:space="preserve"> announcement without issuing </w:t>
      </w:r>
      <w:r w:rsidR="009B771C">
        <w:rPr>
          <w:rFonts w:ascii="Times New Roman" w:hAnsi="Times New Roman" w:cs="Times New Roman"/>
          <w:color w:val="1C1E29"/>
          <w:sz w:val="24"/>
          <w:szCs w:val="24"/>
        </w:rPr>
        <w:t>quantitative earnings forecast</w:t>
      </w:r>
      <w:r w:rsidR="00B14ECE">
        <w:rPr>
          <w:rFonts w:ascii="Times New Roman" w:hAnsi="Times New Roman" w:cs="Times New Roman"/>
          <w:color w:val="1C1E29"/>
          <w:sz w:val="24"/>
          <w:szCs w:val="24"/>
        </w:rPr>
        <w:t>s</w:t>
      </w:r>
      <w:r w:rsidR="009B771C">
        <w:rPr>
          <w:rFonts w:ascii="Times New Roman" w:hAnsi="Times New Roman" w:cs="Times New Roman"/>
          <w:color w:val="1C1E29"/>
          <w:sz w:val="24"/>
          <w:szCs w:val="24"/>
        </w:rPr>
        <w:t xml:space="preserve">. </w:t>
      </w:r>
    </w:p>
    <w:p w14:paraId="20194AB2" w14:textId="2BEF5E1E" w:rsidR="008C42B8" w:rsidRDefault="009B771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We perform a similar analysis for earnings-related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ERN_FWLs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versus non-earnings 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NRN_FWLs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forward-looking statements. </w:t>
      </w:r>
      <w:r w:rsidR="00B16B8E">
        <w:rPr>
          <w:rFonts w:ascii="Times New Roman" w:hAnsi="Times New Roman" w:cs="Times New Roman"/>
          <w:color w:val="1C1E29"/>
          <w:sz w:val="24"/>
          <w:szCs w:val="24"/>
        </w:rPr>
        <w:t xml:space="preserve">We report our results in </w:t>
      </w:r>
      <w:r w:rsidR="00B14ECE">
        <w:rPr>
          <w:rFonts w:ascii="Times New Roman" w:hAnsi="Times New Roman" w:cs="Times New Roman"/>
          <w:color w:val="1C1E29"/>
          <w:sz w:val="24"/>
          <w:szCs w:val="24"/>
        </w:rPr>
        <w:t xml:space="preserve">Panel C of </w:t>
      </w:r>
      <w:r w:rsidR="00B16B8E">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B16B8E">
        <w:rPr>
          <w:rFonts w:ascii="Times New Roman" w:hAnsi="Times New Roman" w:cs="Times New Roman"/>
          <w:color w:val="1C1E29"/>
          <w:sz w:val="24"/>
          <w:szCs w:val="24"/>
        </w:rPr>
        <w:t xml:space="preserve">. </w:t>
      </w:r>
      <w:r w:rsidR="004F71F1">
        <w:rPr>
          <w:rFonts w:ascii="Times New Roman" w:hAnsi="Times New Roman" w:cs="Times New Roman"/>
          <w:color w:val="1C1E29"/>
          <w:sz w:val="24"/>
          <w:szCs w:val="24"/>
        </w:rPr>
        <w:t>We find that higher conservatism promotes more non-</w:t>
      </w:r>
      <w:proofErr w:type="gramStart"/>
      <w:r w:rsidR="004F71F1">
        <w:rPr>
          <w:rFonts w:ascii="Times New Roman" w:hAnsi="Times New Roman" w:cs="Times New Roman"/>
          <w:color w:val="1C1E29"/>
          <w:sz w:val="24"/>
          <w:szCs w:val="24"/>
        </w:rPr>
        <w:t>earnings related</w:t>
      </w:r>
      <w:proofErr w:type="gramEnd"/>
      <w:r w:rsidR="004F71F1">
        <w:rPr>
          <w:rFonts w:ascii="Times New Roman" w:hAnsi="Times New Roman" w:cs="Times New Roman"/>
          <w:color w:val="1C1E29"/>
          <w:sz w:val="24"/>
          <w:szCs w:val="24"/>
        </w:rPr>
        <w:t xml:space="preserve"> forward-looking disclosure</w:t>
      </w:r>
      <w:r w:rsidR="002835F1">
        <w:rPr>
          <w:rFonts w:ascii="Times New Roman" w:hAnsi="Times New Roman" w:cs="Times New Roman"/>
          <w:color w:val="1C1E29"/>
          <w:sz w:val="24"/>
          <w:szCs w:val="24"/>
        </w:rPr>
        <w: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but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 xml:space="preserve">indifferent to </w:t>
      </w:r>
      <w:r w:rsidR="004F71F1">
        <w:rPr>
          <w:rFonts w:ascii="Times New Roman" w:hAnsi="Times New Roman" w:cs="Times New Roman"/>
          <w:color w:val="1C1E29"/>
          <w:sz w:val="24"/>
          <w:szCs w:val="24"/>
        </w:rPr>
        <w:t xml:space="preserve">earning-related statements, as evidenced by the significantly positive coefficient on conservatism in Column (1) and insignificant coefficient in Column (2). These results are consistent with Lu and Tucker (2012) examining the issuance of forward-looking statements about earnings, capital expenditures, and strategic plans and they find that firms tend to withhold earnings guidance </w:t>
      </w:r>
      <w:r w:rsidR="00C449AF">
        <w:rPr>
          <w:rFonts w:ascii="Times New Roman" w:hAnsi="Times New Roman" w:cs="Times New Roman"/>
          <w:color w:val="1C1E29"/>
          <w:sz w:val="24"/>
          <w:szCs w:val="24"/>
        </w:rPr>
        <w:t xml:space="preserve">(i.e., a summary output metric) </w:t>
      </w:r>
      <w:r w:rsidR="004F71F1">
        <w:rPr>
          <w:rFonts w:ascii="Times New Roman" w:hAnsi="Times New Roman" w:cs="Times New Roman"/>
          <w:color w:val="1C1E29"/>
          <w:sz w:val="24"/>
          <w:szCs w:val="24"/>
        </w:rPr>
        <w:t xml:space="preserve">but substitute capital expenditure and strategic plan guidance </w:t>
      </w:r>
      <w:r w:rsidR="00C449AF">
        <w:rPr>
          <w:rFonts w:ascii="Times New Roman" w:hAnsi="Times New Roman" w:cs="Times New Roman"/>
          <w:color w:val="1C1E29"/>
          <w:sz w:val="24"/>
          <w:szCs w:val="24"/>
        </w:rPr>
        <w:t xml:space="preserve">(i.e., input metrics over which they have more control) </w:t>
      </w:r>
      <w:r w:rsidR="004F71F1">
        <w:rPr>
          <w:rFonts w:ascii="Times New Roman" w:hAnsi="Times New Roman" w:cs="Times New Roman"/>
          <w:color w:val="1C1E29"/>
          <w:sz w:val="24"/>
          <w:szCs w:val="24"/>
        </w:rPr>
        <w:t xml:space="preserve">in its place. </w:t>
      </w:r>
    </w:p>
    <w:p w14:paraId="27AD2917" w14:textId="2DC2B066" w:rsidR="0055058F" w:rsidRDefault="00C449AF" w:rsidP="0055058F">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Lastly, we present our results in estimating the impact of accounting conservatism on </w:t>
      </w:r>
      <w:r w:rsidR="00A51398">
        <w:rPr>
          <w:rFonts w:ascii="Times New Roman" w:hAnsi="Times New Roman" w:cs="Times New Roman"/>
          <w:color w:val="1C1E29"/>
          <w:sz w:val="24"/>
          <w:szCs w:val="24"/>
        </w:rPr>
        <w:t>non-financial (</w:t>
      </w:r>
      <w:r w:rsidR="00A51398">
        <w:rPr>
          <w:rFonts w:ascii="Times New Roman" w:hAnsi="Times New Roman" w:cs="Times New Roman"/>
          <w:i/>
          <w:color w:val="1C1E29"/>
          <w:sz w:val="24"/>
          <w:szCs w:val="24"/>
        </w:rPr>
        <w:t>NFN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versus financial forward-looking (</w:t>
      </w:r>
      <w:r w:rsidR="00A51398">
        <w:rPr>
          <w:rFonts w:ascii="Times New Roman" w:hAnsi="Times New Roman" w:cs="Times New Roman"/>
          <w:i/>
          <w:color w:val="1C1E29"/>
          <w:sz w:val="24"/>
          <w:szCs w:val="24"/>
        </w:rPr>
        <w:t>FIN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xml:space="preserve">) disclosure. Our results are reported in </w:t>
      </w:r>
      <w:r w:rsidR="00B14ECE">
        <w:rPr>
          <w:rFonts w:ascii="Times New Roman" w:hAnsi="Times New Roman" w:cs="Times New Roman"/>
          <w:color w:val="1C1E29"/>
          <w:sz w:val="24"/>
          <w:szCs w:val="24"/>
        </w:rPr>
        <w:t xml:space="preserve">Panel D of </w:t>
      </w:r>
      <w:r w:rsidR="00A51398">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A51398">
        <w:rPr>
          <w:rFonts w:ascii="Times New Roman" w:hAnsi="Times New Roman" w:cs="Times New Roman"/>
          <w:color w:val="1C1E29"/>
          <w:sz w:val="24"/>
          <w:szCs w:val="24"/>
        </w:rPr>
        <w:t>. We find that higher conservatism encourages managers to discuss more non-financial prospective disclosure but does not impact financial forward-looking disclosure.</w:t>
      </w:r>
      <w:r w:rsidR="008C42B8">
        <w:rPr>
          <w:rFonts w:ascii="Times New Roman" w:hAnsi="Times New Roman" w:cs="Times New Roman"/>
          <w:color w:val="1C1E29"/>
          <w:sz w:val="24"/>
          <w:szCs w:val="24"/>
        </w:rPr>
        <w:t xml:space="preserve"> Overall, we find that conservative accounting impact</w:t>
      </w:r>
      <w:r w:rsidR="008C42B8" w:rsidRPr="008C42B8">
        <w:rPr>
          <w:rFonts w:ascii="Times New Roman" w:hAnsi="Times New Roman" w:cs="Times New Roman"/>
          <w:color w:val="1C1E29"/>
          <w:sz w:val="24"/>
          <w:szCs w:val="24"/>
        </w:rPr>
        <w:t xml:space="preserve"> manager</w:t>
      </w:r>
      <w:r w:rsidR="008C42B8">
        <w:rPr>
          <w:rFonts w:ascii="Times New Roman" w:hAnsi="Times New Roman" w:cs="Times New Roman"/>
          <w:color w:val="1C1E29"/>
          <w:sz w:val="24"/>
          <w:szCs w:val="24"/>
        </w:rPr>
        <w:t xml:space="preserve">s’ </w:t>
      </w:r>
      <w:r w:rsidR="008C42B8" w:rsidRPr="008C42B8">
        <w:rPr>
          <w:rFonts w:ascii="Times New Roman" w:hAnsi="Times New Roman" w:cs="Times New Roman"/>
          <w:color w:val="1C1E29"/>
          <w:sz w:val="24"/>
          <w:szCs w:val="24"/>
        </w:rPr>
        <w:t xml:space="preserve">voluntary disclosure strategy by </w:t>
      </w:r>
      <w:r w:rsidR="008C42B8">
        <w:rPr>
          <w:rFonts w:ascii="Times New Roman" w:hAnsi="Times New Roman" w:cs="Times New Roman"/>
          <w:color w:val="1C1E29"/>
          <w:sz w:val="24"/>
          <w:szCs w:val="24"/>
        </w:rPr>
        <w:t xml:space="preserve">promoting </w:t>
      </w:r>
      <w:r w:rsidR="008C42B8" w:rsidRPr="008C42B8">
        <w:rPr>
          <w:rFonts w:ascii="Times New Roman" w:hAnsi="Times New Roman" w:cs="Times New Roman"/>
          <w:color w:val="1C1E29"/>
          <w:sz w:val="24"/>
          <w:szCs w:val="24"/>
        </w:rPr>
        <w:t xml:space="preserve">more </w:t>
      </w:r>
      <w:r w:rsidR="008C42B8">
        <w:rPr>
          <w:rFonts w:ascii="Times New Roman" w:hAnsi="Times New Roman" w:cs="Times New Roman"/>
          <w:color w:val="1C1E29"/>
          <w:sz w:val="24"/>
          <w:szCs w:val="24"/>
        </w:rPr>
        <w:t>positive-tone, non-quantitative, non-earnings related, and non-financial f</w:t>
      </w:r>
      <w:r w:rsidR="0077674F">
        <w:rPr>
          <w:rFonts w:ascii="Times New Roman" w:hAnsi="Times New Roman" w:cs="Times New Roman"/>
          <w:color w:val="1C1E29"/>
          <w:sz w:val="24"/>
          <w:szCs w:val="24"/>
        </w:rPr>
        <w:t xml:space="preserve">orward-looking statements. These results are consistent with Matsumoto et al. (2011) that these non-financial, future-oriented disclosure conveys managers’ private information about the firm future growth and therefore, significantly informative to the market. </w:t>
      </w:r>
    </w:p>
    <w:p w14:paraId="20F60B07" w14:textId="77777777" w:rsidR="00B14ECE" w:rsidRDefault="00B14ECE" w:rsidP="0055058F">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p>
    <w:p w14:paraId="6BD8554E" w14:textId="7294E029" w:rsidR="00B14ECE" w:rsidRDefault="00B14ECE"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4.3 </w:t>
      </w:r>
      <w:r w:rsidR="00C175AE">
        <w:rPr>
          <w:rFonts w:ascii="Times New Roman" w:hAnsi="Times New Roman" w:cs="Times New Roman"/>
          <w:b/>
          <w:sz w:val="24"/>
          <w:szCs w:val="24"/>
        </w:rPr>
        <w:t xml:space="preserve">Additional Analyses  </w:t>
      </w:r>
    </w:p>
    <w:p w14:paraId="4C7EFB40" w14:textId="77777777" w:rsidR="00C175AE" w:rsidRDefault="00C175AE" w:rsidP="00C175AE">
      <w:pPr>
        <w:spacing w:line="480" w:lineRule="auto"/>
        <w:ind w:firstLine="720"/>
        <w:contextualSpacing/>
        <w:jc w:val="both"/>
        <w:rPr>
          <w:rFonts w:ascii="Times New Roman" w:hAnsi="Times New Roman" w:cs="Times New Roman"/>
          <w:color w:val="1C1E29"/>
          <w:sz w:val="24"/>
          <w:szCs w:val="24"/>
        </w:rPr>
      </w:pPr>
      <w:r w:rsidRPr="00182A8C">
        <w:rPr>
          <w:rFonts w:ascii="Times New Roman" w:hAnsi="Times New Roman" w:cs="Times New Roman"/>
          <w:color w:val="1C1E29"/>
          <w:sz w:val="24"/>
          <w:szCs w:val="24"/>
        </w:rPr>
        <w:t xml:space="preserve">The joint effect of accounting conservatism and forward-looking statements are likely to vary with the demand for managerial private information and for </w:t>
      </w:r>
      <w:r>
        <w:rPr>
          <w:rFonts w:ascii="Times New Roman" w:hAnsi="Times New Roman" w:cs="Times New Roman"/>
          <w:color w:val="1C1E29"/>
          <w:sz w:val="24"/>
          <w:szCs w:val="24"/>
        </w:rPr>
        <w:t xml:space="preserve">accounting </w:t>
      </w:r>
      <w:r w:rsidRPr="00182A8C">
        <w:rPr>
          <w:rFonts w:ascii="Times New Roman" w:hAnsi="Times New Roman" w:cs="Times New Roman"/>
          <w:color w:val="1C1E29"/>
          <w:sz w:val="24"/>
          <w:szCs w:val="24"/>
        </w:rPr>
        <w:t xml:space="preserve">conservatism as part of verification standards. While investors are likely to demand more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informative disclosure for </w:t>
      </w:r>
      <w:r>
        <w:rPr>
          <w:rFonts w:ascii="Times New Roman" w:hAnsi="Times New Roman" w:cs="Times New Roman"/>
          <w:color w:val="1C1E29"/>
          <w:sz w:val="24"/>
          <w:szCs w:val="24"/>
        </w:rPr>
        <w:t xml:space="preserve">firm </w:t>
      </w:r>
      <w:r w:rsidRPr="00182A8C">
        <w:rPr>
          <w:rFonts w:ascii="Times New Roman" w:hAnsi="Times New Roman" w:cs="Times New Roman"/>
          <w:color w:val="1C1E29"/>
          <w:sz w:val="24"/>
          <w:szCs w:val="24"/>
        </w:rPr>
        <w:t xml:space="preserve">R&amp;D investments and for firms with </w:t>
      </w:r>
      <w:r>
        <w:rPr>
          <w:rFonts w:ascii="Times New Roman" w:hAnsi="Times New Roman" w:cs="Times New Roman"/>
          <w:color w:val="1C1E29"/>
          <w:sz w:val="24"/>
          <w:szCs w:val="24"/>
        </w:rPr>
        <w:t xml:space="preserve">higher </w:t>
      </w:r>
      <w:r w:rsidRPr="00182A8C">
        <w:rPr>
          <w:rFonts w:ascii="Times New Roman" w:hAnsi="Times New Roman" w:cs="Times New Roman"/>
          <w:color w:val="1C1E29"/>
          <w:sz w:val="24"/>
          <w:szCs w:val="24"/>
        </w:rPr>
        <w:t xml:space="preserve">growth options, it is more difficult for outside parties to assess </w:t>
      </w:r>
      <w:r>
        <w:rPr>
          <w:rFonts w:ascii="Times New Roman" w:hAnsi="Times New Roman" w:cs="Times New Roman"/>
          <w:color w:val="1C1E29"/>
          <w:sz w:val="24"/>
          <w:szCs w:val="24"/>
        </w:rPr>
        <w:t xml:space="preserve">or verify </w:t>
      </w:r>
      <w:r w:rsidRPr="00182A8C">
        <w:rPr>
          <w:rFonts w:ascii="Times New Roman" w:hAnsi="Times New Roman" w:cs="Times New Roman"/>
          <w:color w:val="1C1E29"/>
          <w:sz w:val="24"/>
          <w:szCs w:val="24"/>
        </w:rPr>
        <w:t xml:space="preserve">the credibility </w:t>
      </w:r>
      <w:r>
        <w:rPr>
          <w:rFonts w:ascii="Times New Roman" w:hAnsi="Times New Roman" w:cs="Times New Roman"/>
          <w:color w:val="1C1E29"/>
          <w:sz w:val="24"/>
          <w:szCs w:val="24"/>
        </w:rPr>
        <w:t>of</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those </w:t>
      </w:r>
      <w:r w:rsidRPr="00182A8C">
        <w:rPr>
          <w:rFonts w:ascii="Times New Roman" w:hAnsi="Times New Roman" w:cs="Times New Roman"/>
          <w:color w:val="1C1E29"/>
          <w:sz w:val="24"/>
          <w:szCs w:val="24"/>
        </w:rPr>
        <w:t>discourse</w:t>
      </w:r>
      <w:r>
        <w:rPr>
          <w:rFonts w:ascii="Times New Roman" w:hAnsi="Times New Roman" w:cs="Times New Roman"/>
          <w:color w:val="1C1E29"/>
          <w:sz w:val="24"/>
          <w:szCs w:val="24"/>
        </w:rPr>
        <w:t>s, when the future outcomes involve high uncertainty (Smith and Watts 1992)</w:t>
      </w:r>
      <w:r w:rsidRPr="00182A8C">
        <w:rPr>
          <w:rFonts w:ascii="Times New Roman" w:hAnsi="Times New Roman" w:cs="Times New Roman"/>
          <w:color w:val="1C1E29"/>
          <w:sz w:val="24"/>
          <w:szCs w:val="24"/>
        </w:rPr>
        <w:t xml:space="preserve">. Chan et al. (2001) </w:t>
      </w:r>
      <w:r>
        <w:rPr>
          <w:rFonts w:ascii="Times New Roman" w:hAnsi="Times New Roman" w:cs="Times New Roman"/>
          <w:color w:val="1C1E29"/>
          <w:sz w:val="24"/>
          <w:szCs w:val="24"/>
        </w:rPr>
        <w:t>document</w:t>
      </w:r>
      <w:r w:rsidRPr="00182A8C">
        <w:rPr>
          <w:rFonts w:ascii="Times New Roman" w:hAnsi="Times New Roman" w:cs="Times New Roman"/>
          <w:color w:val="1C1E29"/>
          <w:sz w:val="24"/>
          <w:szCs w:val="24"/>
        </w:rPr>
        <w:t xml:space="preserve"> that relative to capital investments, R&amp;D investments have greater uncertainty </w:t>
      </w:r>
      <w:r>
        <w:rPr>
          <w:rFonts w:ascii="Times New Roman" w:hAnsi="Times New Roman" w:cs="Times New Roman"/>
          <w:color w:val="1C1E29"/>
          <w:sz w:val="24"/>
          <w:szCs w:val="24"/>
        </w:rPr>
        <w:t>about</w:t>
      </w:r>
      <w:r w:rsidRPr="00182A8C">
        <w:rPr>
          <w:rFonts w:ascii="Times New Roman" w:hAnsi="Times New Roman" w:cs="Times New Roman"/>
          <w:color w:val="1C1E29"/>
          <w:sz w:val="24"/>
          <w:szCs w:val="24"/>
        </w:rPr>
        <w:t xml:space="preserve"> future benefits. As a result, firms usually face higher costs of external funding from investors for R&amp;D investments than </w:t>
      </w:r>
      <w:r>
        <w:rPr>
          <w:rFonts w:ascii="Times New Roman" w:hAnsi="Times New Roman" w:cs="Times New Roman"/>
          <w:color w:val="1C1E29"/>
          <w:sz w:val="24"/>
          <w:szCs w:val="24"/>
        </w:rPr>
        <w:t xml:space="preserve">for </w:t>
      </w:r>
      <w:r w:rsidRPr="00182A8C">
        <w:rPr>
          <w:rFonts w:ascii="Times New Roman" w:hAnsi="Times New Roman" w:cs="Times New Roman"/>
          <w:color w:val="1C1E29"/>
          <w:sz w:val="24"/>
          <w:szCs w:val="24"/>
        </w:rPr>
        <w:t>other investments (see, e.g. Hall and Lerner 2010). </w:t>
      </w:r>
    </w:p>
    <w:p w14:paraId="35742F05" w14:textId="56DBAB0D" w:rsidR="00C175AE" w:rsidRPr="00CC2A67" w:rsidRDefault="00C175AE" w:rsidP="00C175AE">
      <w:pPr>
        <w:spacing w:line="480" w:lineRule="auto"/>
        <w:ind w:firstLine="720"/>
        <w:contextualSpacing/>
        <w:jc w:val="both"/>
        <w:rPr>
          <w:rFonts w:ascii="Times New Roman" w:hAnsi="Times New Roman" w:cs="Times New Roman"/>
          <w:bCs/>
          <w:color w:val="1C1E29"/>
          <w:sz w:val="24"/>
          <w:szCs w:val="24"/>
        </w:rPr>
      </w:pPr>
      <w:r w:rsidRPr="00182A8C">
        <w:rPr>
          <w:rFonts w:ascii="Times New Roman" w:hAnsi="Times New Roman" w:cs="Times New Roman"/>
          <w:color w:val="1C1E29"/>
          <w:sz w:val="24"/>
          <w:szCs w:val="24"/>
        </w:rPr>
        <w:t>Further, when firms have a larger proportion of firm value attributable to growth options, the future cash flows of growth options are inhere</w:t>
      </w:r>
      <w:r>
        <w:rPr>
          <w:rFonts w:ascii="Times New Roman" w:hAnsi="Times New Roman" w:cs="Times New Roman"/>
          <w:color w:val="1C1E29"/>
          <w:sz w:val="24"/>
          <w:szCs w:val="24"/>
        </w:rPr>
        <w:t>ntly uncertain and unverifiable.</w:t>
      </w:r>
      <w:r w:rsidRPr="00182A8C">
        <w:rPr>
          <w:rFonts w:ascii="Times New Roman" w:hAnsi="Times New Roman" w:cs="Times New Roman"/>
          <w:color w:val="1C1E29"/>
          <w:sz w:val="24"/>
          <w:szCs w:val="24"/>
        </w:rPr>
        <w:t xml:space="preserve"> T</w:t>
      </w:r>
      <w:r>
        <w:rPr>
          <w:rFonts w:ascii="Times New Roman" w:hAnsi="Times New Roman" w:cs="Times New Roman"/>
          <w:color w:val="1C1E29"/>
          <w:sz w:val="24"/>
          <w:szCs w:val="24"/>
        </w:rPr>
        <w:t>hus</w:t>
      </w:r>
      <w:r w:rsidRPr="00182A8C">
        <w:rPr>
          <w:rFonts w:ascii="Times New Roman" w:hAnsi="Times New Roman" w:cs="Times New Roman"/>
          <w:color w:val="1C1E29"/>
          <w:sz w:val="24"/>
          <w:szCs w:val="24"/>
        </w:rPr>
        <w:t>, it is more difficult for outside investors to access managers’ actions and a full set of growth options from which managers</w:t>
      </w:r>
      <w:r>
        <w:rPr>
          <w:rFonts w:ascii="Times New Roman" w:hAnsi="Times New Roman" w:cs="Times New Roman"/>
          <w:color w:val="1C1E29"/>
          <w:sz w:val="24"/>
          <w:szCs w:val="24"/>
        </w:rPr>
        <w:t xml:space="preserve"> choose (Smith and Watts 1992). Thus, we predict that</w:t>
      </w:r>
      <w:r w:rsidRPr="00182A8C">
        <w:rPr>
          <w:rFonts w:ascii="Times New Roman" w:hAnsi="Times New Roman" w:cs="Times New Roman"/>
          <w:color w:val="1C1E29"/>
          <w:sz w:val="24"/>
          <w:szCs w:val="24"/>
        </w:rPr>
        <w:t xml:space="preserve"> the joint benefits of managerial forward-looking disclosure in </w:t>
      </w:r>
      <w:r>
        <w:rPr>
          <w:rFonts w:ascii="Times New Roman" w:hAnsi="Times New Roman" w:cs="Times New Roman"/>
          <w:color w:val="1C1E29"/>
          <w:sz w:val="24"/>
          <w:szCs w:val="24"/>
        </w:rPr>
        <w:t xml:space="preserve">earnings </w:t>
      </w:r>
      <w:r w:rsidRPr="00182A8C">
        <w:rPr>
          <w:rFonts w:ascii="Times New Roman" w:hAnsi="Times New Roman" w:cs="Times New Roman"/>
          <w:color w:val="1C1E29"/>
          <w:sz w:val="24"/>
          <w:szCs w:val="24"/>
        </w:rPr>
        <w:t xml:space="preserve">conference calls (which facilitates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private information) and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(which enhances verifiability) are likely to be greater among firms with higher R&amp;D investments and more growth options. </w:t>
      </w:r>
      <w:r>
        <w:rPr>
          <w:rFonts w:ascii="Times New Roman" w:hAnsi="Times New Roman" w:cs="Times New Roman"/>
          <w:color w:val="1C1E29"/>
          <w:sz w:val="24"/>
          <w:szCs w:val="24"/>
        </w:rPr>
        <w:t xml:space="preserve"> </w:t>
      </w:r>
    </w:p>
    <w:p w14:paraId="7289A607" w14:textId="0656BBB2" w:rsidR="00C175AE" w:rsidRDefault="00C175AE" w:rsidP="00C175AE">
      <w:pPr>
        <w:spacing w:line="480" w:lineRule="auto"/>
        <w:ind w:firstLine="720"/>
        <w:contextualSpacing/>
        <w:jc w:val="both"/>
      </w:pPr>
      <w:r>
        <w:rPr>
          <w:rFonts w:ascii="Times New Roman" w:hAnsi="Times New Roman" w:cs="Times New Roman"/>
          <w:color w:val="1C1E29"/>
          <w:sz w:val="24"/>
          <w:szCs w:val="24"/>
        </w:rPr>
        <w:t>In addition, prior</w:t>
      </w:r>
      <w:r w:rsidRPr="00FA0E81">
        <w:rPr>
          <w:rFonts w:ascii="Times New Roman" w:hAnsi="Times New Roman" w:cs="Times New Roman"/>
          <w:color w:val="1C1E29"/>
          <w:sz w:val="24"/>
          <w:szCs w:val="24"/>
        </w:rPr>
        <w:t xml:space="preserve"> research documents that individual investors are generally small unsophisticated investors</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 xml:space="preserve"> who trade primarily for reasons unrelated to information (e.g., liquidity or rank speculation)</w:t>
      </w:r>
      <w:r>
        <w:rPr>
          <w:rFonts w:ascii="Times New Roman" w:hAnsi="Times New Roman" w:cs="Times New Roman"/>
          <w:color w:val="1C1E29"/>
          <w:sz w:val="24"/>
          <w:szCs w:val="24"/>
        </w:rPr>
        <w:t xml:space="preserve"> </w:t>
      </w:r>
      <w:r w:rsidRPr="00FA0E81">
        <w:rPr>
          <w:rFonts w:ascii="Times New Roman" w:hAnsi="Times New Roman" w:cs="Times New Roman"/>
          <w:color w:val="1C1E29"/>
          <w:sz w:val="24"/>
          <w:szCs w:val="24"/>
        </w:rPr>
        <w:t>(</w:t>
      </w:r>
      <w:proofErr w:type="spellStart"/>
      <w:r>
        <w:rPr>
          <w:rFonts w:ascii="Times New Roman" w:hAnsi="Times New Roman" w:cs="Times New Roman"/>
          <w:color w:val="1C1E29"/>
          <w:sz w:val="24"/>
          <w:szCs w:val="24"/>
        </w:rPr>
        <w:t>Odean</w:t>
      </w:r>
      <w:proofErr w:type="spellEnd"/>
      <w:r>
        <w:rPr>
          <w:rFonts w:ascii="Times New Roman" w:hAnsi="Times New Roman" w:cs="Times New Roman"/>
          <w:color w:val="1C1E29"/>
          <w:sz w:val="24"/>
          <w:szCs w:val="24"/>
        </w:rPr>
        <w:t xml:space="preserve">, 1999; Barber and </w:t>
      </w:r>
      <w:proofErr w:type="spellStart"/>
      <w:r>
        <w:rPr>
          <w:rFonts w:ascii="Times New Roman" w:hAnsi="Times New Roman" w:cs="Times New Roman"/>
          <w:color w:val="1C1E29"/>
          <w:sz w:val="24"/>
          <w:szCs w:val="24"/>
        </w:rPr>
        <w:t>Odean</w:t>
      </w:r>
      <w:proofErr w:type="spellEnd"/>
      <w:r>
        <w:rPr>
          <w:rFonts w:ascii="Times New Roman" w:hAnsi="Times New Roman" w:cs="Times New Roman"/>
          <w:color w:val="1C1E29"/>
          <w:sz w:val="24"/>
          <w:szCs w:val="24"/>
        </w:rPr>
        <w:t xml:space="preserve"> 2008; Barber et al.</w:t>
      </w:r>
      <w:r w:rsidRPr="00FA0E81">
        <w:rPr>
          <w:rFonts w:ascii="Times New Roman" w:hAnsi="Times New Roman" w:cs="Times New Roman"/>
          <w:color w:val="1C1E29"/>
          <w:sz w:val="24"/>
          <w:szCs w:val="24"/>
        </w:rPr>
        <w:t xml:space="preserve"> 2009). In contrast, in</w:t>
      </w:r>
      <w:r>
        <w:rPr>
          <w:rFonts w:ascii="Times New Roman" w:hAnsi="Times New Roman" w:cs="Times New Roman"/>
          <w:color w:val="1C1E29"/>
          <w:sz w:val="24"/>
          <w:szCs w:val="24"/>
        </w:rPr>
        <w:t>s</w:t>
      </w:r>
      <w:r w:rsidRPr="00FA0E81">
        <w:rPr>
          <w:rFonts w:ascii="Times New Roman" w:hAnsi="Times New Roman" w:cs="Times New Roman"/>
          <w:color w:val="1C1E29"/>
          <w:sz w:val="24"/>
          <w:szCs w:val="24"/>
        </w:rPr>
        <w:t>t</w:t>
      </w:r>
      <w:r>
        <w:rPr>
          <w:rFonts w:ascii="Times New Roman" w:hAnsi="Times New Roman" w:cs="Times New Roman"/>
          <w:color w:val="1C1E29"/>
          <w:sz w:val="24"/>
          <w:szCs w:val="24"/>
        </w:rPr>
        <w:t xml:space="preserve">itutional </w:t>
      </w:r>
      <w:r w:rsidRPr="00FA0E81">
        <w:rPr>
          <w:rFonts w:ascii="Times New Roman" w:hAnsi="Times New Roman" w:cs="Times New Roman"/>
          <w:color w:val="1C1E29"/>
          <w:sz w:val="24"/>
          <w:szCs w:val="24"/>
        </w:rPr>
        <w:t xml:space="preserve">investors are both more sophisticated and more </w:t>
      </w:r>
      <w:r>
        <w:rPr>
          <w:rFonts w:ascii="Times New Roman" w:hAnsi="Times New Roman" w:cs="Times New Roman"/>
          <w:color w:val="1C1E29"/>
          <w:sz w:val="24"/>
          <w:szCs w:val="24"/>
        </w:rPr>
        <w:t>critical</w:t>
      </w:r>
      <w:r w:rsidRPr="00FA0E81">
        <w:rPr>
          <w:rFonts w:ascii="Times New Roman" w:hAnsi="Times New Roman" w:cs="Times New Roman"/>
          <w:color w:val="1C1E29"/>
          <w:sz w:val="24"/>
          <w:szCs w:val="24"/>
        </w:rPr>
        <w:t xml:space="preserve"> </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price-se</w:t>
      </w:r>
      <w:r>
        <w:rPr>
          <w:rFonts w:ascii="Times New Roman" w:hAnsi="Times New Roman" w:cs="Times New Roman"/>
          <w:color w:val="1C1E29"/>
          <w:sz w:val="24"/>
          <w:szCs w:val="24"/>
        </w:rPr>
        <w:t xml:space="preserve">tters” in capital markets (e.g., </w:t>
      </w:r>
      <w:r w:rsidRPr="00FA0E81">
        <w:rPr>
          <w:rFonts w:ascii="Times New Roman" w:hAnsi="Times New Roman" w:cs="Times New Roman"/>
          <w:color w:val="1C1E29"/>
          <w:sz w:val="24"/>
          <w:szCs w:val="24"/>
        </w:rPr>
        <w:t xml:space="preserve">Chan and </w:t>
      </w:r>
      <w:proofErr w:type="spellStart"/>
      <w:r w:rsidRPr="00FA0E81">
        <w:rPr>
          <w:rFonts w:ascii="Times New Roman" w:hAnsi="Times New Roman" w:cs="Times New Roman"/>
          <w:color w:val="1C1E29"/>
          <w:sz w:val="24"/>
          <w:szCs w:val="24"/>
        </w:rPr>
        <w:t>Lakonishok</w:t>
      </w:r>
      <w:proofErr w:type="spellEnd"/>
      <w:r w:rsidRPr="00FA0E81">
        <w:rPr>
          <w:rFonts w:ascii="Times New Roman" w:hAnsi="Times New Roman" w:cs="Times New Roman"/>
          <w:color w:val="1C1E29"/>
          <w:sz w:val="24"/>
          <w:szCs w:val="24"/>
        </w:rPr>
        <w:t xml:space="preserve">, 1995; Walther, 1997; </w:t>
      </w:r>
      <w:proofErr w:type="spellStart"/>
      <w:r w:rsidRPr="00FA0E81">
        <w:rPr>
          <w:rFonts w:ascii="Times New Roman" w:hAnsi="Times New Roman" w:cs="Times New Roman"/>
          <w:color w:val="1C1E29"/>
          <w:sz w:val="24"/>
          <w:szCs w:val="24"/>
        </w:rPr>
        <w:t>Sias</w:t>
      </w:r>
      <w:proofErr w:type="spellEnd"/>
      <w:r w:rsidRPr="00FA0E81">
        <w:rPr>
          <w:rFonts w:ascii="Times New Roman" w:hAnsi="Times New Roman" w:cs="Times New Roman"/>
          <w:color w:val="1C1E29"/>
          <w:sz w:val="24"/>
          <w:szCs w:val="24"/>
        </w:rPr>
        <w:t xml:space="preserve"> et al., 2006). Thus, if conservative reporting </w:t>
      </w:r>
      <w:r>
        <w:rPr>
          <w:rFonts w:ascii="Times New Roman" w:hAnsi="Times New Roman" w:cs="Times New Roman"/>
          <w:color w:val="1C1E29"/>
          <w:sz w:val="24"/>
          <w:szCs w:val="24"/>
        </w:rPr>
        <w:t>and forward-looking projections provide</w:t>
      </w:r>
      <w:r w:rsidRPr="00FA0E81">
        <w:rPr>
          <w:rFonts w:ascii="Times New Roman" w:hAnsi="Times New Roman" w:cs="Times New Roman"/>
          <w:color w:val="1C1E29"/>
          <w:sz w:val="24"/>
          <w:szCs w:val="24"/>
        </w:rPr>
        <w:t xml:space="preserve"> information confirmation benefits, institutional </w:t>
      </w:r>
      <w:r w:rsidRPr="00FA0E81">
        <w:rPr>
          <w:rFonts w:ascii="Times New Roman" w:hAnsi="Times New Roman" w:cs="Times New Roman"/>
          <w:color w:val="1C1E29"/>
          <w:sz w:val="24"/>
          <w:szCs w:val="24"/>
        </w:rPr>
        <w:lastRenderedPageBreak/>
        <w:t>investors are more likely to understand and value such benefits</w:t>
      </w:r>
      <w:r>
        <w:rPr>
          <w:rFonts w:ascii="Times New Roman" w:hAnsi="Times New Roman" w:cs="Times New Roman"/>
          <w:color w:val="1C1E29"/>
          <w:sz w:val="24"/>
          <w:szCs w:val="24"/>
        </w:rPr>
        <w:t xml:space="preserve"> better than unsophisticated investors (</w:t>
      </w:r>
      <w:proofErr w:type="spellStart"/>
      <w:r>
        <w:rPr>
          <w:rFonts w:ascii="Times New Roman" w:hAnsi="Times New Roman" w:cs="Times New Roman"/>
          <w:color w:val="1C1E29"/>
          <w:sz w:val="24"/>
          <w:szCs w:val="24"/>
        </w:rPr>
        <w:t>Ramalingegowd</w:t>
      </w:r>
      <w:proofErr w:type="spellEnd"/>
      <w:r>
        <w:rPr>
          <w:rFonts w:ascii="Times New Roman" w:hAnsi="Times New Roman" w:cs="Times New Roman"/>
          <w:color w:val="1C1E29"/>
          <w:sz w:val="24"/>
          <w:szCs w:val="24"/>
        </w:rPr>
        <w:t xml:space="preserve"> and Yu 2012)</w:t>
      </w:r>
      <w:r w:rsidRPr="00FA0E81">
        <w:rPr>
          <w:rFonts w:ascii="Times New Roman" w:hAnsi="Times New Roman" w:cs="Times New Roman"/>
          <w:color w:val="1C1E29"/>
          <w:sz w:val="24"/>
          <w:szCs w:val="24"/>
        </w:rPr>
        <w:t xml:space="preserve">. Consistent with this </w:t>
      </w:r>
      <w:r>
        <w:rPr>
          <w:rFonts w:ascii="Times New Roman" w:hAnsi="Times New Roman" w:cs="Times New Roman"/>
          <w:color w:val="1C1E29"/>
          <w:sz w:val="24"/>
          <w:szCs w:val="24"/>
        </w:rPr>
        <w:t>view</w:t>
      </w:r>
      <w:r w:rsidRPr="00FA0E81">
        <w:rPr>
          <w:rFonts w:ascii="Times New Roman" w:hAnsi="Times New Roman" w:cs="Times New Roman"/>
          <w:color w:val="1C1E29"/>
          <w:sz w:val="24"/>
          <w:szCs w:val="24"/>
        </w:rPr>
        <w:t xml:space="preserve">, </w:t>
      </w:r>
      <w:proofErr w:type="spellStart"/>
      <w:r w:rsidRPr="00FA0E81">
        <w:rPr>
          <w:rFonts w:ascii="Times New Roman" w:hAnsi="Times New Roman" w:cs="Times New Roman"/>
          <w:color w:val="1C1E29"/>
          <w:sz w:val="24"/>
          <w:szCs w:val="24"/>
        </w:rPr>
        <w:t>Ramalingegowd</w:t>
      </w:r>
      <w:proofErr w:type="spellEnd"/>
      <w:r w:rsidRPr="00FA0E81">
        <w:rPr>
          <w:rFonts w:ascii="Times New Roman" w:hAnsi="Times New Roman" w:cs="Times New Roman"/>
          <w:color w:val="1C1E29"/>
          <w:sz w:val="24"/>
          <w:szCs w:val="24"/>
        </w:rPr>
        <w:t xml:space="preserve"> and Yu (2012) </w:t>
      </w:r>
      <w:r>
        <w:rPr>
          <w:rFonts w:ascii="Times New Roman" w:hAnsi="Times New Roman" w:cs="Times New Roman"/>
          <w:color w:val="1C1E29"/>
          <w:sz w:val="24"/>
          <w:szCs w:val="24"/>
        </w:rPr>
        <w:t xml:space="preserve">indicate </w:t>
      </w:r>
      <w:r w:rsidRPr="00FA0E81">
        <w:rPr>
          <w:rFonts w:ascii="Times New Roman" w:hAnsi="Times New Roman" w:cs="Times New Roman"/>
          <w:color w:val="1C1E29"/>
          <w:sz w:val="24"/>
          <w:szCs w:val="24"/>
        </w:rPr>
        <w:t xml:space="preserve">that institutional investors are more likely to demand higher conservatism from managers. </w:t>
      </w:r>
      <w:r>
        <w:rPr>
          <w:rFonts w:ascii="Times New Roman" w:hAnsi="Times New Roman" w:cs="Times New Roman"/>
          <w:color w:val="1C1E29"/>
          <w:sz w:val="24"/>
          <w:szCs w:val="24"/>
        </w:rPr>
        <w:t>W</w:t>
      </w:r>
      <w:r w:rsidRPr="00FA0E81">
        <w:rPr>
          <w:rFonts w:ascii="Times New Roman" w:hAnsi="Times New Roman" w:cs="Times New Roman"/>
          <w:color w:val="1C1E29"/>
          <w:sz w:val="24"/>
          <w:szCs w:val="24"/>
        </w:rPr>
        <w:t xml:space="preserve">e predict that the joint benefits of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and </w:t>
      </w:r>
      <w:r w:rsidRPr="00182A8C">
        <w:rPr>
          <w:rFonts w:ascii="Times New Roman" w:hAnsi="Times New Roman" w:cs="Times New Roman"/>
          <w:color w:val="1C1E29"/>
          <w:sz w:val="24"/>
          <w:szCs w:val="24"/>
        </w:rPr>
        <w:t xml:space="preserve">forward-looking disclosure </w:t>
      </w:r>
      <w:r w:rsidRPr="00FA0E81">
        <w:rPr>
          <w:rFonts w:ascii="Times New Roman" w:hAnsi="Times New Roman" w:cs="Times New Roman"/>
          <w:color w:val="1C1E29"/>
          <w:sz w:val="24"/>
          <w:szCs w:val="24"/>
        </w:rPr>
        <w:t>are likely to be greater among firms with higher institutional ownership</w:t>
      </w:r>
      <w:r>
        <w:rPr>
          <w:rFonts w:ascii="Times New Roman" w:hAnsi="Times New Roman" w:cs="Times New Roman"/>
          <w:color w:val="1C1E29"/>
          <w:sz w:val="24"/>
          <w:szCs w:val="24"/>
        </w:rPr>
        <w:t xml:space="preserve">.  </w:t>
      </w:r>
    </w:p>
    <w:p w14:paraId="25B36217" w14:textId="737E0CCD"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test these predictions</w:t>
      </w:r>
      <w:r w:rsidRPr="002342B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rPr>
        <w:t>-</w:t>
      </w:r>
      <w:r w:rsidRPr="002342BB">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2342BB">
        <w:rPr>
          <w:rFonts w:ascii="Times New Roman" w:eastAsia="Times New Roman" w:hAnsi="Times New Roman" w:cs="Times New Roman"/>
          <w:color w:val="000000"/>
          <w:sz w:val="24"/>
          <w:szCs w:val="24"/>
        </w:rPr>
        <w:t>) for the subsamples based on the level of R&amp;D investments (</w:t>
      </w:r>
      <w:r w:rsidRPr="002342BB">
        <w:rPr>
          <w:rFonts w:ascii="Times New Roman" w:eastAsia="Times New Roman" w:hAnsi="Times New Roman" w:cs="Times New Roman"/>
          <w:i/>
          <w:color w:val="000000"/>
          <w:sz w:val="24"/>
          <w:szCs w:val="24"/>
        </w:rPr>
        <w:t>R&amp;D</w:t>
      </w:r>
      <w:r w:rsidRPr="002342B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firm growth options, </w:t>
      </w:r>
      <w:r>
        <w:rPr>
          <w:rFonts w:ascii="Times New Roman" w:eastAsia="Times New Roman" w:hAnsi="Times New Roman" w:cs="Times New Roman"/>
          <w:color w:val="000000"/>
          <w:sz w:val="24"/>
          <w:szCs w:val="24"/>
        </w:rPr>
        <w:t>and institutional ownership (</w:t>
      </w:r>
      <w:r w:rsidRPr="00AF5E5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use Tobin’s Q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sidRPr="002342BB">
        <w:rPr>
          <w:rFonts w:ascii="Times New Roman" w:eastAsia="Times New Roman" w:hAnsi="Times New Roman" w:cs="Times New Roman"/>
          <w:color w:val="000000"/>
          <w:sz w:val="24"/>
          <w:szCs w:val="24"/>
        </w:rPr>
        <w:t xml:space="preserve">) to measure firms’ growth options. Consistent with Gompers et al. (2003), Tobin’s Q is computed as the ratio of the market value of total assets to book value of total assets, where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asset is the book value of assets plus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common stock, less the sum of the book value of common stock and balance sheet deferred taxes. Higher values of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and </w:t>
      </w:r>
      <w:r w:rsidRPr="00B41DA7">
        <w:rPr>
          <w:rFonts w:ascii="Times New Roman" w:eastAsia="Times New Roman" w:hAnsi="Times New Roman" w:cs="Times New Roman"/>
          <w:i/>
          <w:color w:val="000000"/>
          <w:sz w:val="24"/>
          <w:szCs w:val="24"/>
        </w:rPr>
        <w:t>INST_OWN</w:t>
      </w:r>
      <w:r w:rsidRPr="002342BB">
        <w:rPr>
          <w:rFonts w:ascii="Times New Roman" w:eastAsia="Times New Roman" w:hAnsi="Times New Roman" w:cs="Times New Roman"/>
          <w:color w:val="000000"/>
          <w:sz w:val="24"/>
          <w:szCs w:val="24"/>
        </w:rPr>
        <w:t xml:space="preserve"> imply greater R&amp;D investments</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growth options, </w:t>
      </w:r>
      <w:r>
        <w:rPr>
          <w:rFonts w:ascii="Times New Roman" w:eastAsia="Times New Roman" w:hAnsi="Times New Roman" w:cs="Times New Roman"/>
          <w:color w:val="000000"/>
          <w:sz w:val="24"/>
          <w:szCs w:val="24"/>
        </w:rPr>
        <w:t xml:space="preserve">and higher institutional ownership,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partition the sample into quartiles based on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B41DA7">
        <w:rPr>
          <w:rFonts w:ascii="Times New Roman" w:eastAsia="Times New Roman" w:hAnsi="Times New Roman" w:cs="Times New Roman"/>
          <w:i/>
          <w:color w:val="000000"/>
          <w:sz w:val="24"/>
          <w:szCs w:val="24"/>
        </w:rPr>
        <w:t>Tobin Q</w:t>
      </w:r>
      <w:r>
        <w:rPr>
          <w:rFonts w:ascii="Times New Roman" w:eastAsia="Times New Roman" w:hAnsi="Times New Roman" w:cs="Times New Roman"/>
          <w:color w:val="000000"/>
          <w:sz w:val="24"/>
          <w:szCs w:val="24"/>
        </w:rPr>
        <w:t xml:space="preserve">, or </w:t>
      </w:r>
      <w:r w:rsidRPr="00B41DA7">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and compare estimation results between the top and bottom quartiles.</w:t>
      </w:r>
      <w:r>
        <w:rPr>
          <w:rFonts w:ascii="Times New Roman" w:eastAsia="Times New Roman" w:hAnsi="Times New Roman" w:cs="Times New Roman"/>
          <w:color w:val="000000"/>
          <w:sz w:val="24"/>
          <w:szCs w:val="24"/>
        </w:rPr>
        <w:t xml:space="preserve"> </w:t>
      </w:r>
    </w:p>
    <w:p w14:paraId="45BE0491" w14:textId="77777777"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p>
    <w:p w14:paraId="6DC6D675" w14:textId="4EB74FD6"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.1 The Role of R&amp;D Investments </w:t>
      </w:r>
      <w:r>
        <w:rPr>
          <w:rFonts w:ascii="Times New Roman" w:hAnsi="Times New Roman" w:cs="Times New Roman"/>
          <w:b/>
          <w:i/>
          <w:sz w:val="24"/>
          <w:szCs w:val="24"/>
        </w:rPr>
        <w:t xml:space="preserve"> </w:t>
      </w:r>
    </w:p>
    <w:p w14:paraId="001E3900" w14:textId="6B14353C" w:rsidR="00C175AE"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A of </w:t>
      </w:r>
      <w:r w:rsidRPr="00736407">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736407">
        <w:rPr>
          <w:rFonts w:ascii="Times New Roman" w:eastAsia="Times New Roman" w:hAnsi="Times New Roman" w:cs="Times New Roman"/>
          <w:color w:val="000000"/>
          <w:sz w:val="24"/>
          <w:szCs w:val="24"/>
        </w:rPr>
        <w:t xml:space="preserve"> presents the estimation results conditional on the level of </w:t>
      </w:r>
      <w:r>
        <w:rPr>
          <w:rFonts w:ascii="Times New Roman" w:eastAsia="Times New Roman" w:hAnsi="Times New Roman" w:cs="Times New Roman"/>
          <w:color w:val="000000"/>
          <w:sz w:val="24"/>
          <w:szCs w:val="24"/>
        </w:rPr>
        <w:t>R&amp;D investments</w:t>
      </w:r>
      <w:r w:rsidRPr="00736407">
        <w:rPr>
          <w:rFonts w:ascii="Times New Roman" w:eastAsia="Times New Roman" w:hAnsi="Times New Roman" w:cs="Times New Roman"/>
          <w:color w:val="000000"/>
          <w:sz w:val="24"/>
          <w:szCs w:val="24"/>
        </w:rPr>
        <w:t xml:space="preserve">. </w:t>
      </w:r>
      <w:r w:rsidRPr="00E07314">
        <w:rPr>
          <w:rFonts w:ascii="Times New Roman" w:eastAsia="Times New Roman" w:hAnsi="Times New Roman" w:cs="Times New Roman"/>
          <w:color w:val="000000"/>
          <w:sz w:val="24"/>
          <w:szCs w:val="24"/>
        </w:rPr>
        <w:t xml:space="preserve">We focus on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xml:space="preserve"> in our remaining analysis because the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as a composite measure, provides a better overall assessment of the firm’s level of accounting conservatism than individual measures (</w:t>
      </w:r>
      <w:proofErr w:type="spellStart"/>
      <w:r w:rsidRPr="00E07314">
        <w:rPr>
          <w:rFonts w:ascii="Times New Roman" w:eastAsia="Times New Roman" w:hAnsi="Times New Roman" w:cs="Times New Roman"/>
          <w:color w:val="000000"/>
          <w:sz w:val="24"/>
          <w:szCs w:val="24"/>
        </w:rPr>
        <w:t>Givo</w:t>
      </w:r>
      <w:r>
        <w:rPr>
          <w:rFonts w:ascii="Times New Roman" w:eastAsia="Times New Roman" w:hAnsi="Times New Roman" w:cs="Times New Roman"/>
          <w:color w:val="000000"/>
          <w:sz w:val="24"/>
          <w:szCs w:val="24"/>
        </w:rPr>
        <w:t>ly</w:t>
      </w:r>
      <w:proofErr w:type="spellEnd"/>
      <w:r>
        <w:rPr>
          <w:rFonts w:ascii="Times New Roman" w:eastAsia="Times New Roman" w:hAnsi="Times New Roman" w:cs="Times New Roman"/>
          <w:color w:val="000000"/>
          <w:sz w:val="24"/>
          <w:szCs w:val="24"/>
        </w:rPr>
        <w:t xml:space="preserve"> et al. 2007). Each year, we group firms within the top (bottom) quantile into a “high” (“low”) sub-sample to identify firms with more R&amp;D investments. For firms’ information environment, we form a composite measure, </w:t>
      </w:r>
      <w:r>
        <w:rPr>
          <w:rFonts w:ascii="Times New Roman" w:eastAsia="Times New Roman" w:hAnsi="Times New Roman" w:cs="Times New Roman"/>
          <w:color w:val="000000"/>
          <w:sz w:val="24"/>
          <w:szCs w:val="24"/>
        </w:rPr>
        <w:lastRenderedPageBreak/>
        <w:t>∆</w:t>
      </w:r>
      <w:r w:rsidRPr="00CF1C94">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using the first principle component of our variables ∆</w:t>
      </w:r>
      <w:r w:rsidRPr="00FA169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 ∆</w:t>
      </w:r>
      <w:r w:rsidRPr="005A633B">
        <w:rPr>
          <w:rFonts w:ascii="Times New Roman" w:eastAsia="Times New Roman" w:hAnsi="Times New Roman" w:cs="Times New Roman"/>
          <w:i/>
          <w:color w:val="000000"/>
          <w:sz w:val="24"/>
          <w:szCs w:val="24"/>
        </w:rPr>
        <w:t>AFERROR</w:t>
      </w:r>
      <w:r>
        <w:rPr>
          <w:rFonts w:ascii="Times New Roman" w:eastAsia="Times New Roman" w:hAnsi="Times New Roman" w:cs="Times New Roman"/>
          <w:color w:val="000000"/>
          <w:sz w:val="24"/>
          <w:szCs w:val="24"/>
        </w:rPr>
        <w:t>, and ∆</w:t>
      </w:r>
      <w:r w:rsidRPr="005A633B">
        <w:rPr>
          <w:rFonts w:ascii="Times New Roman" w:eastAsia="Times New Roman" w:hAnsi="Times New Roman" w:cs="Times New Roman"/>
          <w:i/>
          <w:color w:val="000000"/>
          <w:sz w:val="24"/>
          <w:szCs w:val="24"/>
        </w:rPr>
        <w:t>AF</w:t>
      </w:r>
      <w:r>
        <w:rPr>
          <w:rFonts w:ascii="Times New Roman" w:eastAsia="Times New Roman" w:hAnsi="Times New Roman" w:cs="Times New Roman"/>
          <w:i/>
          <w:color w:val="000000"/>
          <w:sz w:val="24"/>
          <w:szCs w:val="24"/>
        </w:rPr>
        <w:t>DISP</w:t>
      </w:r>
      <w:r>
        <w:rPr>
          <w:rFonts w:ascii="Times New Roman" w:eastAsia="Times New Roman" w:hAnsi="Times New Roman" w:cs="Times New Roman"/>
          <w:color w:val="000000"/>
          <w:sz w:val="24"/>
          <w:szCs w:val="24"/>
        </w:rPr>
        <w:t>. In Table 6, Panel A, w</w:t>
      </w:r>
      <w:r w:rsidRPr="00736407">
        <w:rPr>
          <w:rFonts w:ascii="Times New Roman" w:eastAsia="Times New Roman" w:hAnsi="Times New Roman" w:cs="Times New Roman"/>
          <w:color w:val="000000"/>
          <w:sz w:val="24"/>
          <w:szCs w:val="24"/>
        </w:rPr>
        <w:t>e re</w:t>
      </w:r>
      <w:r>
        <w:rPr>
          <w:rFonts w:ascii="Times New Roman" w:eastAsia="Times New Roman" w:hAnsi="Times New Roman" w:cs="Times New Roman"/>
          <w:color w:val="000000"/>
          <w:sz w:val="24"/>
          <w:szCs w:val="24"/>
        </w:rPr>
        <w:t>-</w:t>
      </w:r>
      <w:r w:rsidRPr="00736407">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736407">
        <w:rPr>
          <w:rFonts w:ascii="Times New Roman" w:eastAsia="Times New Roman" w:hAnsi="Times New Roman" w:cs="Times New Roman"/>
          <w:color w:val="000000"/>
          <w:sz w:val="24"/>
          <w:szCs w:val="24"/>
        </w:rPr>
        <w:t xml:space="preserve">) by partitioning our </w:t>
      </w:r>
      <w:r>
        <w:rPr>
          <w:rFonts w:ascii="Times New Roman" w:eastAsia="Times New Roman" w:hAnsi="Times New Roman" w:cs="Times New Roman"/>
          <w:color w:val="000000"/>
          <w:sz w:val="24"/>
          <w:szCs w:val="24"/>
        </w:rPr>
        <w:t>sample into quartiles based on R&amp;D investments</w:t>
      </w:r>
      <w:r w:rsidRPr="00736407">
        <w:rPr>
          <w:rFonts w:ascii="Times New Roman" w:eastAsia="Times New Roman" w:hAnsi="Times New Roman" w:cs="Times New Roman"/>
          <w:color w:val="000000"/>
          <w:sz w:val="24"/>
          <w:szCs w:val="24"/>
        </w:rPr>
        <w:t xml:space="preserve">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w:t>
      </w:r>
    </w:p>
    <w:p w14:paraId="227D5718" w14:textId="77777777"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sidRPr="00736407">
        <w:rPr>
          <w:rFonts w:ascii="Times New Roman" w:eastAsia="Times New Roman" w:hAnsi="Times New Roman" w:cs="Times New Roman"/>
          <w:color w:val="000000"/>
          <w:sz w:val="24"/>
          <w:szCs w:val="24"/>
        </w:rPr>
        <w:t>We find that the coefficient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 xml:space="preserve">CONSER </w:t>
      </w:r>
      <w:r w:rsidRPr="00736407">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negative</w:t>
      </w:r>
      <w:r w:rsidRPr="00736407">
        <w:rPr>
          <w:rFonts w:ascii="Times New Roman" w:eastAsia="Times New Roman" w:hAnsi="Times New Roman" w:cs="Times New Roman"/>
          <w:color w:val="000000"/>
          <w:sz w:val="24"/>
          <w:szCs w:val="24"/>
        </w:rPr>
        <w:t xml:space="preserve"> and significant for the firms in the ‘‘High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value </w:t>
      </w:r>
      <w:r w:rsidRPr="00736407">
        <w:rPr>
          <w:rFonts w:ascii="Times New Roman" w:eastAsia="Times New Roman" w:hAnsi="Times New Roman" w:cs="Times New Roman"/>
          <w:color w:val="000000"/>
          <w:sz w:val="24"/>
          <w:szCs w:val="24"/>
        </w:rPr>
        <w:t xml:space="preserve">in the top 25 percent of the distribution). However, the coefficient on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CONSER</w:t>
      </w:r>
      <w:r w:rsidRPr="00736407">
        <w:rPr>
          <w:rFonts w:ascii="Times New Roman" w:eastAsia="Times New Roman" w:hAnsi="Times New Roman" w:cs="Times New Roman"/>
          <w:color w:val="000000"/>
          <w:sz w:val="24"/>
          <w:szCs w:val="24"/>
        </w:rPr>
        <w:t xml:space="preserve"> becomes smaller, although still significant, in the ‘‘Low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in the bottom 25 percent of the distribution). The difference in </w:t>
      </w:r>
      <w:r>
        <w:rPr>
          <w:rFonts w:ascii="Times New Roman" w:eastAsia="Times New Roman" w:hAnsi="Times New Roman" w:cs="Times New Roman"/>
          <w:color w:val="000000"/>
          <w:sz w:val="24"/>
          <w:szCs w:val="24"/>
        </w:rPr>
        <w:t xml:space="preserve">the </w:t>
      </w:r>
      <w:r w:rsidRPr="00736407">
        <w:rPr>
          <w:rFonts w:ascii="Times New Roman" w:eastAsia="Times New Roman" w:hAnsi="Times New Roman" w:cs="Times New Roman"/>
          <w:color w:val="000000"/>
          <w:sz w:val="24"/>
          <w:szCs w:val="24"/>
        </w:rPr>
        <w:t>coefficients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w:t>
      </w:r>
      <w:r>
        <w:rPr>
          <w:rFonts w:ascii="Times New Roman" w:eastAsia="Times New Roman" w:hAnsi="Times New Roman" w:cs="Times New Roman"/>
          <w:color w:val="000000"/>
          <w:sz w:val="24"/>
          <w:szCs w:val="24"/>
        </w:rPr>
        <w:t xml:space="preserve">nteraction term between the high- and low- </w:t>
      </w:r>
      <w:r w:rsidRPr="00736407">
        <w:rPr>
          <w:rFonts w:ascii="Times New Roman" w:eastAsia="Times New Roman" w:hAnsi="Times New Roman" w:cs="Times New Roman"/>
          <w:color w:val="000000"/>
          <w:sz w:val="24"/>
          <w:szCs w:val="24"/>
        </w:rPr>
        <w:t xml:space="preserve">groups is </w:t>
      </w:r>
      <w:r>
        <w:rPr>
          <w:rFonts w:ascii="Times New Roman" w:eastAsia="Times New Roman" w:hAnsi="Times New Roman" w:cs="Times New Roman"/>
          <w:color w:val="000000"/>
          <w:sz w:val="24"/>
          <w:szCs w:val="24"/>
        </w:rPr>
        <w:t xml:space="preserve">statically </w:t>
      </w:r>
      <w:r w:rsidRPr="00736407">
        <w:rPr>
          <w:rFonts w:ascii="Times New Roman" w:eastAsia="Times New Roman" w:hAnsi="Times New Roman" w:cs="Times New Roman"/>
          <w:color w:val="000000"/>
          <w:sz w:val="24"/>
          <w:szCs w:val="24"/>
        </w:rPr>
        <w:t>significant</w:t>
      </w:r>
      <w:r>
        <w:rPr>
          <w:rFonts w:ascii="Times New Roman" w:eastAsia="Times New Roman" w:hAnsi="Times New Roman" w:cs="Times New Roman"/>
          <w:color w:val="000000"/>
          <w:sz w:val="24"/>
          <w:szCs w:val="24"/>
        </w:rPr>
        <w:t xml:space="preserve"> at less than 5 percent. The conclusion in </w:t>
      </w:r>
      <w:r w:rsidRPr="00212C22">
        <w:rPr>
          <w:rFonts w:ascii="Times New Roman" w:eastAsia="Times New Roman" w:hAnsi="Times New Roman" w:cs="Times New Roman"/>
          <w:color w:val="000000"/>
          <w:sz w:val="24"/>
          <w:szCs w:val="24"/>
        </w:rPr>
        <w:t xml:space="preserve">our H2a results </w:t>
      </w:r>
      <w:r>
        <w:rPr>
          <w:rFonts w:ascii="Times New Roman" w:eastAsia="Times New Roman" w:hAnsi="Times New Roman" w:cs="Times New Roman"/>
          <w:color w:val="000000"/>
          <w:sz w:val="24"/>
          <w:szCs w:val="24"/>
        </w:rPr>
        <w:t>is</w:t>
      </w:r>
      <w:r w:rsidRPr="00212C22">
        <w:rPr>
          <w:rFonts w:ascii="Times New Roman" w:eastAsia="Times New Roman" w:hAnsi="Times New Roman" w:cs="Times New Roman"/>
          <w:color w:val="000000"/>
          <w:sz w:val="24"/>
          <w:szCs w:val="24"/>
        </w:rPr>
        <w:t xml:space="preserve"> largely similar, when we use the three individual conservatism measures in our analysis instead of the composite one (the only exception is that when we use </w:t>
      </w:r>
      <w:r w:rsidRPr="00212C22">
        <w:rPr>
          <w:rFonts w:ascii="Times New Roman" w:eastAsia="Times New Roman" w:hAnsi="Times New Roman" w:cs="Times New Roman"/>
          <w:i/>
          <w:color w:val="000000"/>
          <w:sz w:val="24"/>
          <w:szCs w:val="24"/>
        </w:rPr>
        <w:t>CONSER_NOA</w:t>
      </w:r>
      <w:r>
        <w:rPr>
          <w:rFonts w:ascii="Times New Roman" w:eastAsia="Times New Roman" w:hAnsi="Times New Roman" w:cs="Times New Roman"/>
          <w:color w:val="000000"/>
          <w:sz w:val="24"/>
          <w:szCs w:val="24"/>
        </w:rPr>
        <w:t xml:space="preserve"> as our proxy,</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212C22">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groups, although the magnitude of the coeffi</w:t>
      </w:r>
      <w:r>
        <w:rPr>
          <w:rFonts w:ascii="Times New Roman" w:eastAsia="Times New Roman" w:hAnsi="Times New Roman" w:cs="Times New Roman"/>
          <w:color w:val="000000"/>
          <w:sz w:val="24"/>
          <w:szCs w:val="24"/>
        </w:rPr>
        <w:t>cient is still greater in the “</w:t>
      </w:r>
      <w:r w:rsidRPr="00212C22">
        <w:rPr>
          <w:rFonts w:ascii="Times New Roman" w:eastAsia="Times New Roman" w:hAnsi="Times New Roman" w:cs="Times New Roman"/>
          <w:color w:val="000000"/>
          <w:sz w:val="24"/>
          <w:szCs w:val="24"/>
        </w:rPr>
        <w:t>High R&amp;D</w:t>
      </w:r>
      <w:r>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color w:val="000000"/>
          <w:sz w:val="24"/>
          <w:szCs w:val="24"/>
        </w:rPr>
        <w:t>group).</w:t>
      </w:r>
    </w:p>
    <w:p w14:paraId="3D82FFFF" w14:textId="77777777" w:rsidR="00C175AE" w:rsidRPr="00836DF6" w:rsidRDefault="00C175AE" w:rsidP="00C175AE">
      <w:pPr>
        <w:pStyle w:val="ListParagraph"/>
        <w:spacing w:line="480" w:lineRule="auto"/>
        <w:ind w:left="360"/>
        <w:contextualSpacing/>
        <w:rPr>
          <w:rFonts w:ascii="Times New Roman" w:eastAsia="Times New Roman" w:hAnsi="Times New Roman" w:cs="Times New Roman"/>
          <w:color w:val="000000"/>
          <w:sz w:val="24"/>
          <w:szCs w:val="24"/>
          <w:shd w:val="pct15" w:color="auto" w:fill="FFFFFF"/>
        </w:rPr>
      </w:pPr>
    </w:p>
    <w:p w14:paraId="65A3BE6A" w14:textId="2E0D4FDA" w:rsidR="00C175AE" w:rsidRPr="00A10528" w:rsidRDefault="00C175AE" w:rsidP="00C175AE">
      <w:pPr>
        <w:spacing w:after="160" w:line="480" w:lineRule="auto"/>
        <w:contextualSpacing/>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.2 The Role of Growth Options </w:t>
      </w:r>
      <w:r>
        <w:rPr>
          <w:rFonts w:ascii="Times New Roman" w:hAnsi="Times New Roman" w:cs="Times New Roman"/>
          <w:b/>
          <w:i/>
          <w:sz w:val="24"/>
          <w:szCs w:val="24"/>
        </w:rPr>
        <w:t xml:space="preserve"> </w:t>
      </w:r>
    </w:p>
    <w:p w14:paraId="55CCCE1C" w14:textId="3051ECF5"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Pr>
          <w:rFonts w:ascii="Times New Roman" w:eastAsia="Times New Roman" w:hAnsi="Times New Roman" w:cs="Times New Roman"/>
          <w:color w:val="000000"/>
          <w:sz w:val="24"/>
          <w:szCs w:val="24"/>
        </w:rPr>
        <w:t xml:space="preserve">Panel B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growth options (</w:t>
      </w:r>
      <w:r w:rsidRPr="00FA1373">
        <w:rPr>
          <w:rFonts w:ascii="Times New Roman" w:eastAsia="Times New Roman" w:hAnsi="Times New Roman" w:cs="Times New Roman"/>
          <w:color w:val="000000"/>
          <w:sz w:val="24"/>
          <w:szCs w:val="24"/>
        </w:rPr>
        <w:t>H2b</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We re</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FA1373">
        <w:rPr>
          <w:rFonts w:ascii="Times New Roman" w:eastAsia="Times New Roman" w:hAnsi="Times New Roman" w:cs="Times New Roman"/>
          <w:color w:val="000000"/>
          <w:sz w:val="24"/>
          <w:szCs w:val="24"/>
        </w:rPr>
        <w:t xml:space="preserve">) by partitioning our sample into quartiles based on </w:t>
      </w:r>
      <w:r>
        <w:rPr>
          <w:rFonts w:ascii="Times New Roman" w:eastAsia="Times New Roman" w:hAnsi="Times New Roman" w:cs="Times New Roman"/>
          <w:color w:val="000000"/>
          <w:sz w:val="24"/>
          <w:szCs w:val="24"/>
        </w:rPr>
        <w:t>firm Tobin’s Q (</w:t>
      </w:r>
      <w:proofErr w:type="spellStart"/>
      <w:r w:rsidRPr="00FA1373">
        <w:rPr>
          <w:rFonts w:ascii="Times New Roman" w:eastAsia="Times New Roman" w:hAnsi="Times New Roman" w:cs="Times New Roman"/>
          <w:i/>
          <w:color w:val="000000"/>
          <w:sz w:val="24"/>
          <w:szCs w:val="24"/>
        </w:rPr>
        <w:t>TobinQ</w:t>
      </w:r>
      <w:proofErr w:type="spellEnd"/>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A1373">
        <w:rPr>
          <w:rFonts w:ascii="Times New Roman" w:eastAsia="Times New Roman" w:hAnsi="Times New Roman" w:cs="Times New Roman"/>
          <w:color w:val="000000"/>
          <w:sz w:val="24"/>
          <w:szCs w:val="24"/>
        </w:rPr>
        <w:t xml:space="preserve"> find that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proofErr w:type="spellStart"/>
      <w:r w:rsidRPr="00FA1373">
        <w:rPr>
          <w:rFonts w:ascii="Times New Roman" w:eastAsia="Times New Roman" w:hAnsi="Times New Roman" w:cs="Times New Roman"/>
          <w:i/>
          <w:color w:val="000000"/>
          <w:sz w:val="24"/>
          <w:szCs w:val="24"/>
        </w:rPr>
        <w:t>TobinQ</w:t>
      </w:r>
      <w:proofErr w:type="spellEnd"/>
      <w:r w:rsidRPr="00FA1373">
        <w:rPr>
          <w:rFonts w:ascii="Times New Roman" w:eastAsia="Times New Roman" w:hAnsi="Times New Roman" w:cs="Times New Roman"/>
          <w:color w:val="000000"/>
          <w:sz w:val="24"/>
          <w:szCs w:val="24"/>
        </w:rPr>
        <w:t xml:space="preserve">’’ subsample. However,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 xml:space="preserve">marginally </w:t>
      </w:r>
      <w:r w:rsidRPr="00FA1373">
        <w:rPr>
          <w:rFonts w:ascii="Times New Roman" w:eastAsia="Times New Roman" w:hAnsi="Times New Roman" w:cs="Times New Roman"/>
          <w:color w:val="000000"/>
          <w:sz w:val="24"/>
          <w:szCs w:val="24"/>
        </w:rPr>
        <w:t>significant for the ‘‘</w:t>
      </w:r>
      <w:r>
        <w:rPr>
          <w:rFonts w:ascii="Times New Roman" w:eastAsia="Times New Roman" w:hAnsi="Times New Roman" w:cs="Times New Roman"/>
          <w:color w:val="000000"/>
          <w:sz w:val="24"/>
          <w:szCs w:val="24"/>
        </w:rPr>
        <w:t xml:space="preserve">Low </w:t>
      </w:r>
      <w:proofErr w:type="spellStart"/>
      <w:r w:rsidRPr="00FA1373">
        <w:rPr>
          <w:rFonts w:ascii="Times New Roman" w:eastAsia="Times New Roman" w:hAnsi="Times New Roman" w:cs="Times New Roman"/>
          <w:i/>
          <w:color w:val="000000"/>
          <w:sz w:val="24"/>
          <w:szCs w:val="24"/>
        </w:rPr>
        <w:t>TobinQ</w:t>
      </w:r>
      <w:proofErr w:type="spellEnd"/>
      <w:r>
        <w:rPr>
          <w:rFonts w:ascii="Times New Roman" w:eastAsia="Times New Roman" w:hAnsi="Times New Roman" w:cs="Times New Roman"/>
          <w:color w:val="000000"/>
          <w:sz w:val="24"/>
          <w:szCs w:val="24"/>
        </w:rPr>
        <w:t>’’ subsample, indicating that the joint benefits of conservative reporting and forward-looking information is related to improved information environment only in firms with more growth options. Further, t</w:t>
      </w:r>
      <w:r w:rsidRPr="00FA1373">
        <w:rPr>
          <w:rFonts w:ascii="Times New Roman" w:eastAsia="Times New Roman" w:hAnsi="Times New Roman" w:cs="Times New Roman"/>
          <w:color w:val="000000"/>
          <w:sz w:val="24"/>
          <w:szCs w:val="24"/>
        </w:rPr>
        <w:t xml:space="preserve">he difference </w:t>
      </w:r>
      <w:r w:rsidRPr="00FA1373">
        <w:rPr>
          <w:rFonts w:ascii="Times New Roman" w:eastAsia="Times New Roman" w:hAnsi="Times New Roman" w:cs="Times New Roman"/>
          <w:color w:val="000000"/>
          <w:sz w:val="24"/>
          <w:szCs w:val="24"/>
        </w:rPr>
        <w:lastRenderedPageBreak/>
        <w:t>in coefficients on the interaction term between the two groups is significant at less than 1</w:t>
      </w:r>
      <w:r>
        <w:rPr>
          <w:rFonts w:ascii="Times New Roman" w:eastAsia="Times New Roman" w:hAnsi="Times New Roman" w:cs="Times New Roman"/>
          <w:color w:val="000000"/>
          <w:sz w:val="24"/>
          <w:szCs w:val="24"/>
        </w:rPr>
        <w:t>0</w:t>
      </w:r>
      <w:r w:rsidRPr="00FA1373">
        <w:rPr>
          <w:rFonts w:ascii="Times New Roman" w:eastAsia="Times New Roman" w:hAnsi="Times New Roman" w:cs="Times New Roman"/>
          <w:color w:val="000000"/>
          <w:sz w:val="24"/>
          <w:szCs w:val="24"/>
        </w:rPr>
        <w:t xml:space="preserve"> percent. </w:t>
      </w:r>
      <w:proofErr w:type="spellStart"/>
      <w:r w:rsidRPr="00212C22">
        <w:rPr>
          <w:rFonts w:ascii="Times New Roman" w:eastAsia="Times New Roman" w:hAnsi="Times New Roman" w:cs="Times New Roman"/>
          <w:color w:val="000000"/>
          <w:sz w:val="24"/>
          <w:szCs w:val="24"/>
        </w:rPr>
        <w:t>Untabulated</w:t>
      </w:r>
      <w:proofErr w:type="spellEnd"/>
      <w:r w:rsidRPr="00212C22">
        <w:rPr>
          <w:rFonts w:ascii="Times New Roman" w:eastAsia="Times New Roman" w:hAnsi="Times New Roman" w:cs="Times New Roman"/>
          <w:color w:val="000000"/>
          <w:sz w:val="24"/>
          <w:szCs w:val="24"/>
        </w:rPr>
        <w:t xml:space="preserve"> results show that when we use the three individual accounting conservatism measures, our H2b results are largely similar (the only exception is that when we use </w:t>
      </w:r>
      <w:r w:rsidRPr="00212C22">
        <w:rPr>
          <w:rFonts w:ascii="Times New Roman" w:eastAsia="Times New Roman" w:hAnsi="Times New Roman" w:cs="Times New Roman"/>
          <w:i/>
          <w:color w:val="000000"/>
          <w:sz w:val="24"/>
          <w:szCs w:val="24"/>
        </w:rPr>
        <w:t>CONSER_B</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subsamples, although the coefficient is significant only in the ‘‘High </w:t>
      </w:r>
      <w:proofErr w:type="spellStart"/>
      <w:r w:rsidRPr="00212C22">
        <w:rPr>
          <w:rFonts w:ascii="Times New Roman" w:eastAsia="Times New Roman" w:hAnsi="Times New Roman" w:cs="Times New Roman"/>
          <w:color w:val="000000"/>
          <w:sz w:val="24"/>
          <w:szCs w:val="24"/>
        </w:rPr>
        <w:t>TobinQ</w:t>
      </w:r>
      <w:proofErr w:type="spellEnd"/>
      <w:r w:rsidRPr="00212C22">
        <w:rPr>
          <w:rFonts w:ascii="Times New Roman" w:eastAsia="Times New Roman" w:hAnsi="Times New Roman" w:cs="Times New Roman"/>
          <w:color w:val="000000"/>
          <w:sz w:val="24"/>
          <w:szCs w:val="24"/>
        </w:rPr>
        <w:t>’’ subsample).</w:t>
      </w:r>
      <w:r w:rsidRPr="00836DF6">
        <w:rPr>
          <w:rFonts w:ascii="Times New Roman" w:eastAsia="Times New Roman" w:hAnsi="Times New Roman" w:cs="Times New Roman"/>
          <w:color w:val="000000"/>
          <w:sz w:val="24"/>
          <w:szCs w:val="24"/>
          <w:shd w:val="pct15" w:color="auto" w:fill="FFFFFF"/>
        </w:rPr>
        <w:t xml:space="preserve"> </w:t>
      </w:r>
    </w:p>
    <w:p w14:paraId="2D0BEDB4" w14:textId="77777777" w:rsidR="00C175AE" w:rsidRDefault="00C175AE" w:rsidP="00C175AE">
      <w:pPr>
        <w:spacing w:line="480" w:lineRule="auto"/>
        <w:contextualSpacing/>
        <w:jc w:val="both"/>
        <w:rPr>
          <w:rFonts w:ascii="Times New Roman" w:eastAsia="Times New Roman" w:hAnsi="Times New Roman" w:cs="Times New Roman"/>
          <w:i/>
          <w:color w:val="000000"/>
          <w:sz w:val="24"/>
          <w:szCs w:val="24"/>
        </w:rPr>
      </w:pPr>
    </w:p>
    <w:p w14:paraId="3DAACA96" w14:textId="00975AB0"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.3 The Role of Institutional Ownership </w:t>
      </w:r>
      <w:r>
        <w:rPr>
          <w:rFonts w:ascii="Times New Roman" w:hAnsi="Times New Roman" w:cs="Times New Roman"/>
          <w:b/>
          <w:i/>
          <w:sz w:val="24"/>
          <w:szCs w:val="24"/>
        </w:rPr>
        <w:t xml:space="preserve"> </w:t>
      </w:r>
    </w:p>
    <w:p w14:paraId="5C2ABF2C" w14:textId="08548B5E" w:rsidR="00C175AE" w:rsidRPr="00B049C7"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C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institutional ownership (</w:t>
      </w:r>
      <w:r w:rsidRPr="00A52B74">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While prior studies find that small unsophisticated investors primarily trade for the reasons unrelated to information (</w:t>
      </w:r>
      <w:proofErr w:type="spellStart"/>
      <w:r w:rsidRPr="00C12AC6">
        <w:rPr>
          <w:rFonts w:ascii="Times New Roman" w:eastAsia="Times New Roman" w:hAnsi="Times New Roman" w:cs="Times New Roman"/>
          <w:color w:val="000000"/>
          <w:sz w:val="24"/>
          <w:szCs w:val="24"/>
        </w:rPr>
        <w:t>Odean</w:t>
      </w:r>
      <w:proofErr w:type="spellEnd"/>
      <w:r w:rsidRPr="00C12AC6">
        <w:rPr>
          <w:rFonts w:ascii="Times New Roman" w:eastAsia="Times New Roman" w:hAnsi="Times New Roman" w:cs="Times New Roman"/>
          <w:color w:val="000000"/>
          <w:sz w:val="24"/>
          <w:szCs w:val="24"/>
        </w:rPr>
        <w:t xml:space="preserve">, 1999; Barber and </w:t>
      </w:r>
      <w:proofErr w:type="spellStart"/>
      <w:r w:rsidRPr="00C12AC6">
        <w:rPr>
          <w:rFonts w:ascii="Times New Roman" w:eastAsia="Times New Roman" w:hAnsi="Times New Roman" w:cs="Times New Roman"/>
          <w:color w:val="000000"/>
          <w:sz w:val="24"/>
          <w:szCs w:val="24"/>
        </w:rPr>
        <w:t>Odean</w:t>
      </w:r>
      <w:proofErr w:type="spellEnd"/>
      <w:r w:rsidRPr="00C12AC6">
        <w:rPr>
          <w:rFonts w:ascii="Times New Roman" w:eastAsia="Times New Roman" w:hAnsi="Times New Roman" w:cs="Times New Roman"/>
          <w:color w:val="000000"/>
          <w:sz w:val="24"/>
          <w:szCs w:val="24"/>
        </w:rPr>
        <w:t>, 2000, 2008; Barber et al., 2009</w:t>
      </w:r>
      <w:r>
        <w:rPr>
          <w:rFonts w:ascii="Times New Roman" w:eastAsia="Times New Roman" w:hAnsi="Times New Roman" w:cs="Times New Roman"/>
          <w:color w:val="000000"/>
          <w:sz w:val="24"/>
          <w:szCs w:val="24"/>
        </w:rPr>
        <w:t xml:space="preserve">), we expect that institutional investors are more likely to understand and value the information confirmation benefits. Consistent with this prediction, we find that </w:t>
      </w:r>
      <w:r w:rsidRPr="00FA1373">
        <w:rPr>
          <w:rFonts w:ascii="Times New Roman" w:eastAsia="Times New Roman" w:hAnsi="Times New Roman" w:cs="Times New Roman"/>
          <w:color w:val="000000"/>
          <w:sz w:val="24"/>
          <w:szCs w:val="24"/>
        </w:rPr>
        <w:t xml:space="preserve">the coefficient on </w:t>
      </w:r>
      <w:r w:rsidRPr="00724E14">
        <w:rPr>
          <w:rFonts w:ascii="Times New Roman" w:eastAsia="Times New Roman" w:hAnsi="Times New Roman" w:cs="Times New Roman"/>
          <w:i/>
          <w:color w:val="000000"/>
          <w:sz w:val="24"/>
          <w:szCs w:val="24"/>
        </w:rPr>
        <w:t xml:space="preserve">FWDLOOK </w:t>
      </w:r>
      <w:r>
        <w:rPr>
          <w:rFonts w:ascii="Times New Roman" w:eastAsia="Times New Roman" w:hAnsi="Times New Roman" w:cs="Times New Roman"/>
          <w:i/>
          <w:color w:val="000000"/>
          <w:sz w:val="24"/>
          <w:szCs w:val="24"/>
        </w:rPr>
        <w:t>×</w:t>
      </w:r>
      <w:r w:rsidRPr="00724E14">
        <w:rPr>
          <w:rFonts w:ascii="Times New Roman" w:eastAsia="Times New Roman" w:hAnsi="Times New Roman" w:cs="Times New Roman"/>
          <w:i/>
          <w:color w:val="000000"/>
          <w:sz w:val="24"/>
          <w:szCs w:val="24"/>
        </w:rPr>
        <w:t xml:space="preserve">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INST_OWN</w:t>
      </w:r>
      <w:r w:rsidRPr="00FA1373">
        <w:rPr>
          <w:rFonts w:ascii="Times New Roman" w:eastAsia="Times New Roman" w:hAnsi="Times New Roman" w:cs="Times New Roman"/>
          <w:color w:val="000000"/>
          <w:sz w:val="24"/>
          <w:szCs w:val="24"/>
        </w:rPr>
        <w:t>’’ subsample</w:t>
      </w:r>
      <w:r>
        <w:rPr>
          <w:rFonts w:ascii="Times New Roman" w:eastAsia="Times New Roman" w:hAnsi="Times New Roman" w:cs="Times New Roman"/>
          <w:color w:val="000000"/>
          <w:sz w:val="24"/>
          <w:szCs w:val="24"/>
        </w:rPr>
        <w:t xml:space="preserve">, but insignificant for the “Low </w:t>
      </w:r>
      <w:r w:rsidRPr="00836DF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subsample. </w:t>
      </w:r>
      <w:r w:rsidRPr="00B049C7">
        <w:rPr>
          <w:rFonts w:ascii="Times New Roman" w:eastAsia="Times New Roman" w:hAnsi="Times New Roman" w:cs="Times New Roman"/>
          <w:color w:val="000000"/>
          <w:sz w:val="24"/>
          <w:szCs w:val="24"/>
        </w:rPr>
        <w:t xml:space="preserve">The difference in coefficients on the interaction term between the two groups is significant at less than 1 percent. </w:t>
      </w:r>
      <w:r w:rsidRPr="00212C22">
        <w:rPr>
          <w:rFonts w:ascii="Times New Roman" w:eastAsia="Times New Roman" w:hAnsi="Times New Roman" w:cs="Times New Roman"/>
          <w:color w:val="000000"/>
          <w:sz w:val="24"/>
          <w:szCs w:val="24"/>
        </w:rPr>
        <w:t>H2</w:t>
      </w:r>
      <w:r>
        <w:rPr>
          <w:rFonts w:ascii="Times New Roman" w:eastAsia="Times New Roman" w:hAnsi="Times New Roman" w:cs="Times New Roman"/>
          <w:color w:val="000000"/>
          <w:sz w:val="24"/>
          <w:szCs w:val="24"/>
        </w:rPr>
        <w:t>c</w:t>
      </w:r>
      <w:r w:rsidRPr="00212C22">
        <w:rPr>
          <w:rFonts w:ascii="Times New Roman" w:eastAsia="Times New Roman" w:hAnsi="Times New Roman" w:cs="Times New Roman"/>
          <w:color w:val="000000"/>
          <w:sz w:val="24"/>
          <w:szCs w:val="24"/>
        </w:rPr>
        <w:t xml:space="preserve"> results are largely similar, when we use the three individual conservatism measures in our analys</w:t>
      </w:r>
      <w:r>
        <w:rPr>
          <w:rFonts w:ascii="Times New Roman" w:eastAsia="Times New Roman" w:hAnsi="Times New Roman" w:cs="Times New Roman"/>
          <w:color w:val="000000"/>
          <w:sz w:val="24"/>
          <w:szCs w:val="24"/>
        </w:rPr>
        <w:t>is instead of the composite one</w:t>
      </w:r>
      <w:r w:rsidRPr="00212C22">
        <w:rPr>
          <w:rFonts w:ascii="Times New Roman" w:eastAsia="Times New Roman" w:hAnsi="Times New Roman" w:cs="Times New Roman"/>
          <w:color w:val="000000"/>
          <w:sz w:val="24"/>
          <w:szCs w:val="24"/>
        </w:rPr>
        <w:t>.</w:t>
      </w:r>
    </w:p>
    <w:p w14:paraId="6EF4DD4A" w14:textId="73D9AD87" w:rsidR="00C175AE" w:rsidRDefault="00C175AE" w:rsidP="00C175AE">
      <w:pPr>
        <w:spacing w:line="480" w:lineRule="auto"/>
        <w:ind w:firstLine="720"/>
        <w:contextualSpacing/>
        <w:jc w:val="both"/>
        <w:rPr>
          <w:rFonts w:ascii="Times New Roman" w:eastAsia="Times New Roman" w:hAnsi="Times New Roman" w:cs="Times New Roman"/>
          <w:i/>
          <w:color w:val="000000"/>
          <w:sz w:val="24"/>
          <w:szCs w:val="24"/>
        </w:rPr>
      </w:pPr>
      <w:r w:rsidRPr="008025E6">
        <w:rPr>
          <w:rFonts w:ascii="Times New Roman" w:eastAsia="Times New Roman" w:hAnsi="Times New Roman" w:cs="Times New Roman"/>
          <w:color w:val="000000"/>
          <w:sz w:val="24"/>
          <w:szCs w:val="24"/>
        </w:rPr>
        <w:t>In sum</w:t>
      </w:r>
      <w:r>
        <w:rPr>
          <w:rFonts w:ascii="Times New Roman" w:eastAsia="Times New Roman" w:hAnsi="Times New Roman" w:cs="Times New Roman"/>
          <w:color w:val="000000"/>
          <w:sz w:val="24"/>
          <w:szCs w:val="24"/>
        </w:rPr>
        <w:t>mary</w:t>
      </w:r>
      <w:r w:rsidRPr="008025E6">
        <w:rPr>
          <w:rFonts w:ascii="Times New Roman" w:eastAsia="Times New Roman" w:hAnsi="Times New Roman" w:cs="Times New Roman"/>
          <w:color w:val="000000"/>
          <w:sz w:val="24"/>
          <w:szCs w:val="24"/>
        </w:rPr>
        <w:t xml:space="preserve">, the results reported in Table </w:t>
      </w:r>
      <w:r>
        <w:rPr>
          <w:rFonts w:ascii="Times New Roman" w:eastAsia="Times New Roman" w:hAnsi="Times New Roman" w:cs="Times New Roman"/>
          <w:color w:val="000000"/>
          <w:sz w:val="24"/>
          <w:szCs w:val="24"/>
        </w:rPr>
        <w:t>8 are consistent with the predi</w:t>
      </w:r>
      <w:r w:rsidRPr="008025E6">
        <w:rPr>
          <w:rFonts w:ascii="Times New Roman" w:eastAsia="Times New Roman" w:hAnsi="Times New Roman" w:cs="Times New Roman"/>
          <w:color w:val="000000"/>
          <w:sz w:val="24"/>
          <w:szCs w:val="24"/>
        </w:rPr>
        <w:t xml:space="preserve">ction that the joint effect of </w:t>
      </w:r>
      <w:r>
        <w:rPr>
          <w:rFonts w:ascii="Times New Roman" w:eastAsia="Times New Roman" w:hAnsi="Times New Roman" w:cs="Times New Roman"/>
          <w:color w:val="000000"/>
          <w:sz w:val="24"/>
          <w:szCs w:val="24"/>
        </w:rPr>
        <w:t>forward-looking information</w:t>
      </w:r>
      <w:r w:rsidRPr="008025E6">
        <w:rPr>
          <w:rFonts w:ascii="Times New Roman" w:eastAsia="Times New Roman" w:hAnsi="Times New Roman" w:cs="Times New Roman"/>
          <w:color w:val="000000"/>
          <w:sz w:val="24"/>
          <w:szCs w:val="24"/>
        </w:rPr>
        <w:t xml:space="preserve"> and conservati</w:t>
      </w:r>
      <w:r>
        <w:rPr>
          <w:rFonts w:ascii="Times New Roman" w:eastAsia="Times New Roman" w:hAnsi="Times New Roman" w:cs="Times New Roman"/>
          <w:color w:val="000000"/>
          <w:sz w:val="24"/>
          <w:szCs w:val="24"/>
        </w:rPr>
        <w:t>ve reporting</w:t>
      </w:r>
      <w:r w:rsidRPr="008025E6">
        <w:rPr>
          <w:rFonts w:ascii="Times New Roman" w:eastAsia="Times New Roman" w:hAnsi="Times New Roman" w:cs="Times New Roman"/>
          <w:color w:val="000000"/>
          <w:sz w:val="24"/>
          <w:szCs w:val="24"/>
        </w:rPr>
        <w:t xml:space="preserve"> on </w:t>
      </w:r>
      <w:r>
        <w:rPr>
          <w:rFonts w:ascii="Times New Roman" w:eastAsia="Times New Roman" w:hAnsi="Times New Roman" w:cs="Times New Roman"/>
          <w:color w:val="000000"/>
          <w:sz w:val="24"/>
          <w:szCs w:val="24"/>
        </w:rPr>
        <w:t>the information environment</w:t>
      </w:r>
      <w:r w:rsidRPr="008025E6">
        <w:rPr>
          <w:rFonts w:ascii="Times New Roman" w:eastAsia="Times New Roman" w:hAnsi="Times New Roman" w:cs="Times New Roman"/>
          <w:color w:val="000000"/>
          <w:sz w:val="24"/>
          <w:szCs w:val="24"/>
        </w:rPr>
        <w:t xml:space="preserve"> is stronger </w:t>
      </w:r>
      <w:r>
        <w:rPr>
          <w:rFonts w:ascii="Times New Roman" w:eastAsia="Times New Roman" w:hAnsi="Times New Roman" w:cs="Times New Roman"/>
          <w:color w:val="000000"/>
          <w:sz w:val="24"/>
          <w:szCs w:val="24"/>
        </w:rPr>
        <w:t xml:space="preserve">among </w:t>
      </w:r>
      <w:r w:rsidRPr="008025E6">
        <w:rPr>
          <w:rFonts w:ascii="Times New Roman" w:eastAsia="Times New Roman" w:hAnsi="Times New Roman" w:cs="Times New Roman"/>
          <w:color w:val="000000"/>
          <w:sz w:val="24"/>
          <w:szCs w:val="24"/>
        </w:rPr>
        <w:t xml:space="preserve">firms </w:t>
      </w:r>
      <w:r>
        <w:rPr>
          <w:rFonts w:ascii="Times New Roman" w:eastAsia="Times New Roman" w:hAnsi="Times New Roman" w:cs="Times New Roman"/>
          <w:color w:val="000000"/>
          <w:sz w:val="24"/>
          <w:szCs w:val="24"/>
        </w:rPr>
        <w:t>operating with higher R&amp;D investments, facing more growth options, and owned by greater proportions of institutional investors</w:t>
      </w:r>
      <w:r w:rsidRPr="008025E6">
        <w:rPr>
          <w:rFonts w:ascii="Times New Roman" w:eastAsia="Times New Roman" w:hAnsi="Times New Roman" w:cs="Times New Roman"/>
          <w:color w:val="000000"/>
          <w:sz w:val="24"/>
          <w:szCs w:val="24"/>
        </w:rPr>
        <w:t xml:space="preserve">. </w:t>
      </w:r>
      <w:r w:rsidRPr="00C63C7E">
        <w:rPr>
          <w:rFonts w:ascii="Times New Roman" w:eastAsia="Times New Roman" w:hAnsi="Times New Roman" w:cs="Times New Roman"/>
          <w:color w:val="000000"/>
          <w:sz w:val="24"/>
          <w:szCs w:val="24"/>
        </w:rPr>
        <w:t>The above results comport with the intuition that the provision of managerial forward-looking information and verification of this private information ar</w:t>
      </w:r>
      <w:r>
        <w:rPr>
          <w:rFonts w:ascii="Times New Roman" w:eastAsia="Times New Roman" w:hAnsi="Times New Roman" w:cs="Times New Roman"/>
          <w:color w:val="000000"/>
          <w:sz w:val="24"/>
          <w:szCs w:val="24"/>
        </w:rPr>
        <w:t xml:space="preserve">e both particularly </w:t>
      </w:r>
      <w:r w:rsidRPr="00C63C7E">
        <w:rPr>
          <w:rFonts w:ascii="Times New Roman" w:eastAsia="Times New Roman" w:hAnsi="Times New Roman" w:cs="Times New Roman"/>
          <w:color w:val="000000"/>
          <w:sz w:val="24"/>
          <w:szCs w:val="24"/>
        </w:rPr>
        <w:t xml:space="preserve">valuable in firms having uncertain R&amp;D investments and </w:t>
      </w:r>
      <w:r w:rsidRPr="00C63C7E">
        <w:rPr>
          <w:rFonts w:ascii="Times New Roman" w:eastAsia="Times New Roman" w:hAnsi="Times New Roman" w:cs="Times New Roman"/>
          <w:color w:val="000000"/>
          <w:sz w:val="24"/>
          <w:szCs w:val="24"/>
        </w:rPr>
        <w:lastRenderedPageBreak/>
        <w:t xml:space="preserve">growth options, and </w:t>
      </w:r>
      <w:r>
        <w:rPr>
          <w:rFonts w:ascii="Times New Roman" w:eastAsia="Times New Roman" w:hAnsi="Times New Roman" w:cs="Times New Roman"/>
          <w:color w:val="000000"/>
          <w:sz w:val="24"/>
          <w:szCs w:val="24"/>
        </w:rPr>
        <w:t>in those</w:t>
      </w:r>
      <w:r w:rsidRPr="00C63C7E">
        <w:rPr>
          <w:rFonts w:ascii="Times New Roman" w:eastAsia="Times New Roman" w:hAnsi="Times New Roman" w:cs="Times New Roman"/>
          <w:color w:val="000000"/>
          <w:sz w:val="24"/>
          <w:szCs w:val="24"/>
        </w:rPr>
        <w:t xml:space="preserve"> owned by a larger proportion of institutional investors are better positioned to value the information benefits.</w:t>
      </w:r>
      <w:r>
        <w:rPr>
          <w:rFonts w:ascii="Times New Roman" w:eastAsia="Times New Roman" w:hAnsi="Times New Roman" w:cs="Times New Roman"/>
          <w:i/>
          <w:color w:val="000000"/>
          <w:sz w:val="24"/>
          <w:szCs w:val="24"/>
        </w:rPr>
        <w:t xml:space="preserve">   </w:t>
      </w:r>
    </w:p>
    <w:p w14:paraId="75B84982" w14:textId="77777777" w:rsidR="009D4261" w:rsidRPr="009D4261" w:rsidRDefault="009D4261" w:rsidP="009D4261">
      <w:pPr>
        <w:autoSpaceDE w:val="0"/>
        <w:autoSpaceDN w:val="0"/>
        <w:adjustRightInd w:val="0"/>
        <w:contextualSpacing/>
        <w:jc w:val="both"/>
        <w:rPr>
          <w:rFonts w:ascii="Times New Roman" w:hAnsi="Times New Roman" w:cs="Times New Roman"/>
          <w:b/>
          <w:sz w:val="24"/>
          <w:szCs w:val="24"/>
        </w:rPr>
      </w:pPr>
    </w:p>
    <w:p w14:paraId="0597A088" w14:textId="77777777" w:rsidR="009D4E96" w:rsidRDefault="009D4E96" w:rsidP="00C24CCA">
      <w:pPr>
        <w:rPr>
          <w:rFonts w:ascii="Times New Roman" w:hAnsi="Times New Roman" w:cs="Times New Roman"/>
          <w:b/>
          <w:i/>
          <w:sz w:val="24"/>
          <w:szCs w:val="24"/>
        </w:rPr>
      </w:pPr>
    </w:p>
    <w:p w14:paraId="195FD8F9" w14:textId="351BE40D" w:rsidR="00A113D1" w:rsidRPr="00A113D1" w:rsidRDefault="00A113D1" w:rsidP="0085080A">
      <w:pPr>
        <w:pStyle w:val="ListParagraph"/>
        <w:numPr>
          <w:ilvl w:val="0"/>
          <w:numId w:val="9"/>
        </w:numPr>
        <w:ind w:left="360"/>
        <w:rPr>
          <w:rFonts w:ascii="Times New Roman" w:hAnsi="Times New Roman" w:cs="Times New Roman"/>
          <w:b/>
          <w:i/>
          <w:sz w:val="24"/>
          <w:szCs w:val="24"/>
        </w:rPr>
      </w:pPr>
      <w:r w:rsidRPr="00A113D1">
        <w:rPr>
          <w:rFonts w:ascii="Times New Roman" w:hAnsi="Times New Roman" w:cs="Times New Roman"/>
          <w:b/>
          <w:i/>
          <w:sz w:val="24"/>
          <w:szCs w:val="24"/>
        </w:rPr>
        <w:t>Conclusions</w:t>
      </w:r>
    </w:p>
    <w:p w14:paraId="0C3676EC" w14:textId="19028501" w:rsidR="0085080A" w:rsidRPr="00A113D1" w:rsidRDefault="0085080A" w:rsidP="00A113D1">
      <w:pPr>
        <w:pStyle w:val="ListParagraph"/>
        <w:ind w:left="360"/>
        <w:rPr>
          <w:rFonts w:ascii="Times New Roman" w:hAnsi="Times New Roman" w:cs="Times New Roman"/>
          <w:b/>
          <w:sz w:val="24"/>
          <w:szCs w:val="24"/>
        </w:rPr>
      </w:pPr>
    </w:p>
    <w:p w14:paraId="24F4A26A" w14:textId="020F8F82" w:rsidR="00FA59EC" w:rsidRDefault="009E012C" w:rsidP="008F2CC1">
      <w:pPr>
        <w:spacing w:line="480" w:lineRule="auto"/>
        <w:ind w:firstLine="720"/>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In this paper, w</w:t>
      </w:r>
      <w:r w:rsidR="00C24CCA" w:rsidRPr="0093206E">
        <w:rPr>
          <w:rFonts w:ascii="Times New Roman" w:eastAsia="Times New Roman" w:hAnsi="Times New Roman" w:cs="Times New Roman"/>
          <w:color w:val="000000"/>
          <w:sz w:val="24"/>
          <w:szCs w:val="24"/>
        </w:rPr>
        <w:t>e investigate the joint effect</w:t>
      </w:r>
      <w:r>
        <w:rPr>
          <w:rFonts w:ascii="Times New Roman" w:eastAsia="Times New Roman" w:hAnsi="Times New Roman" w:cs="Times New Roman"/>
          <w:color w:val="000000"/>
          <w:sz w:val="24"/>
          <w:szCs w:val="24"/>
        </w:rPr>
        <w:t>s</w:t>
      </w:r>
      <w:r w:rsidR="00C24CCA" w:rsidRPr="0093206E">
        <w:rPr>
          <w:rFonts w:ascii="Times New Roman" w:eastAsia="Times New Roman" w:hAnsi="Times New Roman" w:cs="Times New Roman"/>
          <w:color w:val="000000"/>
          <w:sz w:val="24"/>
          <w:szCs w:val="24"/>
        </w:rPr>
        <w:t xml:space="preserve"> of </w:t>
      </w:r>
      <w:r w:rsidR="0093206E" w:rsidRPr="0093206E">
        <w:rPr>
          <w:rFonts w:ascii="Times New Roman" w:eastAsia="Times New Roman" w:hAnsi="Times New Roman" w:cs="Times New Roman"/>
          <w:color w:val="000000"/>
          <w:sz w:val="24"/>
          <w:szCs w:val="24"/>
        </w:rPr>
        <w:t xml:space="preserve">accounting conservatism and managerial forward-looking disclosure through earnings conference calls </w:t>
      </w:r>
      <w:r w:rsidR="00C24CCA" w:rsidRPr="0093206E">
        <w:rPr>
          <w:rFonts w:ascii="Times New Roman" w:eastAsia="Times New Roman" w:hAnsi="Times New Roman" w:cs="Times New Roman"/>
          <w:color w:val="000000"/>
          <w:sz w:val="24"/>
          <w:szCs w:val="24"/>
        </w:rPr>
        <w:t xml:space="preserve">on </w:t>
      </w:r>
      <w:r w:rsidR="008F2CC1">
        <w:rPr>
          <w:rFonts w:ascii="Times New Roman" w:eastAsia="Times New Roman" w:hAnsi="Times New Roman" w:cs="Times New Roman"/>
          <w:color w:val="000000"/>
          <w:sz w:val="24"/>
          <w:szCs w:val="24"/>
        </w:rPr>
        <w:t xml:space="preserve">the </w:t>
      </w:r>
      <w:r w:rsidR="00C24CCA" w:rsidRPr="0093206E">
        <w:rPr>
          <w:rFonts w:ascii="Times New Roman" w:eastAsia="Times New Roman" w:hAnsi="Times New Roman" w:cs="Times New Roman"/>
          <w:color w:val="000000"/>
          <w:sz w:val="24"/>
          <w:szCs w:val="24"/>
        </w:rPr>
        <w:t xml:space="preserve">firm </w:t>
      </w:r>
      <w:r w:rsidR="0093206E" w:rsidRPr="0093206E">
        <w:rPr>
          <w:rFonts w:ascii="Times New Roman" w:eastAsia="Times New Roman" w:hAnsi="Times New Roman" w:cs="Times New Roman"/>
          <w:color w:val="000000"/>
          <w:sz w:val="24"/>
          <w:szCs w:val="24"/>
        </w:rPr>
        <w:t>information environment</w:t>
      </w:r>
      <w:r w:rsidR="00C24CCA" w:rsidRPr="0093206E">
        <w:rPr>
          <w:rFonts w:ascii="Times New Roman" w:eastAsia="Times New Roman" w:hAnsi="Times New Roman" w:cs="Times New Roman"/>
          <w:color w:val="000000"/>
          <w:sz w:val="24"/>
          <w:szCs w:val="24"/>
        </w:rPr>
        <w:t>.</w:t>
      </w:r>
      <w:r w:rsidR="00C24CCA" w:rsidRPr="008E65AB">
        <w:rPr>
          <w:rFonts w:ascii="Times New Roman" w:eastAsia="Times New Roman" w:hAnsi="Times New Roman" w:cs="Times New Roman"/>
          <w:i/>
          <w:color w:val="000000"/>
          <w:sz w:val="24"/>
          <w:szCs w:val="24"/>
        </w:rPr>
        <w:t xml:space="preserve"> </w:t>
      </w:r>
      <w:r w:rsidR="00040B4A">
        <w:rPr>
          <w:rFonts w:ascii="Times New Roman" w:eastAsia="Times New Roman" w:hAnsi="Times New Roman" w:cs="Times New Roman"/>
          <w:color w:val="000000"/>
          <w:sz w:val="24"/>
          <w:szCs w:val="24"/>
        </w:rPr>
        <w:t xml:space="preserve">We predict and find that conservative accounting and voluntary disclosure of managers’ private information are complementary mechanism for communicating with the market participants, not substitutes. </w:t>
      </w:r>
      <w:r w:rsidR="00340A17" w:rsidRPr="00340A17">
        <w:rPr>
          <w:rFonts w:ascii="Times New Roman" w:eastAsia="Times New Roman" w:hAnsi="Times New Roman" w:cs="Times New Roman"/>
          <w:color w:val="000000"/>
          <w:sz w:val="24"/>
          <w:szCs w:val="24"/>
        </w:rPr>
        <w:t>Managers</w:t>
      </w:r>
      <w:r w:rsidR="00C24CCA" w:rsidRPr="00340A17">
        <w:rPr>
          <w:rFonts w:ascii="Times New Roman" w:eastAsia="Times New Roman" w:hAnsi="Times New Roman" w:cs="Times New Roman"/>
          <w:color w:val="000000"/>
          <w:sz w:val="24"/>
          <w:szCs w:val="24"/>
        </w:rPr>
        <w:t xml:space="preserve"> are more </w:t>
      </w:r>
      <w:r w:rsidR="00340A17" w:rsidRPr="00340A17">
        <w:rPr>
          <w:rFonts w:ascii="Times New Roman" w:eastAsia="Times New Roman" w:hAnsi="Times New Roman" w:cs="Times New Roman"/>
          <w:color w:val="000000"/>
          <w:sz w:val="24"/>
          <w:szCs w:val="24"/>
        </w:rPr>
        <w:t xml:space="preserve">likely </w:t>
      </w:r>
      <w:r w:rsidR="00C24CCA" w:rsidRPr="00340A17">
        <w:rPr>
          <w:rFonts w:ascii="Times New Roman" w:eastAsia="Times New Roman" w:hAnsi="Times New Roman" w:cs="Times New Roman"/>
          <w:color w:val="000000"/>
          <w:sz w:val="24"/>
          <w:szCs w:val="24"/>
        </w:rPr>
        <w:t xml:space="preserve">to </w:t>
      </w:r>
      <w:r w:rsidRPr="00340A17">
        <w:rPr>
          <w:rFonts w:ascii="Times New Roman" w:eastAsia="Times New Roman" w:hAnsi="Times New Roman" w:cs="Times New Roman"/>
          <w:color w:val="000000"/>
          <w:sz w:val="24"/>
          <w:szCs w:val="24"/>
        </w:rPr>
        <w:t>com</w:t>
      </w:r>
      <w:r>
        <w:rPr>
          <w:rFonts w:ascii="Times New Roman" w:eastAsia="Times New Roman" w:hAnsi="Times New Roman" w:cs="Times New Roman"/>
          <w:color w:val="000000"/>
          <w:sz w:val="24"/>
          <w:szCs w:val="24"/>
        </w:rPr>
        <w:t>municate</w:t>
      </w:r>
      <w:r w:rsidR="00340A17" w:rsidRPr="00340A17">
        <w:rPr>
          <w:rFonts w:ascii="Times New Roman" w:eastAsia="Times New Roman" w:hAnsi="Times New Roman" w:cs="Times New Roman"/>
          <w:color w:val="000000"/>
          <w:sz w:val="24"/>
          <w:szCs w:val="24"/>
        </w:rPr>
        <w:t xml:space="preserve"> their private</w:t>
      </w:r>
      <w:r w:rsidR="00040B4A">
        <w:rPr>
          <w:rFonts w:ascii="Times New Roman" w:eastAsia="Times New Roman" w:hAnsi="Times New Roman" w:cs="Times New Roman"/>
          <w:color w:val="000000"/>
          <w:sz w:val="24"/>
          <w:szCs w:val="24"/>
        </w:rPr>
        <w:t>,</w:t>
      </w:r>
      <w:r w:rsidR="00340A17" w:rsidRPr="00340A17">
        <w:rPr>
          <w:rFonts w:ascii="Times New Roman" w:eastAsia="Times New Roman" w:hAnsi="Times New Roman" w:cs="Times New Roman"/>
          <w:color w:val="000000"/>
          <w:sz w:val="24"/>
          <w:szCs w:val="24"/>
        </w:rPr>
        <w:t xml:space="preserve"> forward-looking information about the </w:t>
      </w:r>
      <w:r w:rsidR="00040B4A">
        <w:rPr>
          <w:rFonts w:ascii="Times New Roman" w:eastAsia="Times New Roman" w:hAnsi="Times New Roman" w:cs="Times New Roman"/>
          <w:color w:val="000000"/>
          <w:sz w:val="24"/>
          <w:szCs w:val="24"/>
        </w:rPr>
        <w:t xml:space="preserve">firm </w:t>
      </w:r>
      <w:r w:rsidR="00340A17" w:rsidRPr="00340A17">
        <w:rPr>
          <w:rFonts w:ascii="Times New Roman" w:eastAsia="Times New Roman" w:hAnsi="Times New Roman" w:cs="Times New Roman"/>
          <w:color w:val="000000"/>
          <w:sz w:val="24"/>
          <w:szCs w:val="24"/>
        </w:rPr>
        <w:t xml:space="preserve">future </w:t>
      </w:r>
      <w:r w:rsidR="00040B4A">
        <w:rPr>
          <w:rFonts w:ascii="Times New Roman" w:eastAsia="Times New Roman" w:hAnsi="Times New Roman" w:cs="Times New Roman"/>
          <w:color w:val="000000"/>
          <w:sz w:val="24"/>
          <w:szCs w:val="24"/>
        </w:rPr>
        <w:t>growth</w:t>
      </w:r>
      <w:r w:rsidR="00340A17" w:rsidRPr="00340A17">
        <w:rPr>
          <w:rFonts w:ascii="Times New Roman" w:eastAsia="Times New Roman" w:hAnsi="Times New Roman" w:cs="Times New Roman"/>
          <w:color w:val="000000"/>
          <w:sz w:val="24"/>
          <w:szCs w:val="24"/>
        </w:rPr>
        <w:t xml:space="preserve"> to the market through earnings conference calls</w:t>
      </w:r>
      <w:r w:rsidR="00C24CCA" w:rsidRPr="00340A17">
        <w:rPr>
          <w:rFonts w:ascii="Times New Roman" w:eastAsia="Times New Roman" w:hAnsi="Times New Roman" w:cs="Times New Roman"/>
          <w:color w:val="000000"/>
          <w:sz w:val="24"/>
          <w:szCs w:val="24"/>
        </w:rPr>
        <w:t xml:space="preserve">, but </w:t>
      </w:r>
      <w:r w:rsidR="00340A17" w:rsidRPr="00340A17">
        <w:rPr>
          <w:rFonts w:ascii="Times New Roman" w:eastAsia="Times New Roman" w:hAnsi="Times New Roman" w:cs="Times New Roman"/>
          <w:color w:val="000000"/>
          <w:sz w:val="24"/>
          <w:szCs w:val="24"/>
        </w:rPr>
        <w:t xml:space="preserve">such information </w:t>
      </w:r>
      <w:r w:rsidR="006B1960">
        <w:rPr>
          <w:rFonts w:ascii="Times New Roman" w:eastAsia="Times New Roman" w:hAnsi="Times New Roman" w:cs="Times New Roman"/>
          <w:color w:val="000000"/>
          <w:sz w:val="24"/>
          <w:szCs w:val="24"/>
        </w:rPr>
        <w:t>is non-verifiable in nature</w:t>
      </w:r>
      <w:r w:rsidR="00340A17" w:rsidRPr="00340A17">
        <w:rPr>
          <w:rFonts w:ascii="Times New Roman" w:eastAsia="Times New Roman" w:hAnsi="Times New Roman" w:cs="Times New Roman"/>
          <w:color w:val="000000"/>
          <w:sz w:val="24"/>
          <w:szCs w:val="24"/>
        </w:rPr>
        <w:t>.</w:t>
      </w:r>
      <w:r w:rsidR="00340A17">
        <w:rPr>
          <w:rFonts w:ascii="Times New Roman" w:eastAsia="Times New Roman" w:hAnsi="Times New Roman" w:cs="Times New Roman"/>
          <w:i/>
          <w:color w:val="000000"/>
          <w:sz w:val="24"/>
          <w:szCs w:val="24"/>
        </w:rPr>
        <w:t xml:space="preserve"> </w:t>
      </w:r>
      <w:r w:rsidR="00C24CCA" w:rsidRPr="00EE337E">
        <w:rPr>
          <w:rFonts w:ascii="Times New Roman" w:eastAsia="Times New Roman" w:hAnsi="Times New Roman" w:cs="Times New Roman"/>
          <w:color w:val="000000"/>
          <w:sz w:val="24"/>
          <w:szCs w:val="24"/>
        </w:rPr>
        <w:t xml:space="preserve">Because </w:t>
      </w:r>
      <w:r w:rsidR="006D6DF5" w:rsidRPr="00EE337E">
        <w:rPr>
          <w:rFonts w:ascii="Times New Roman" w:eastAsia="Times New Roman" w:hAnsi="Times New Roman" w:cs="Times New Roman"/>
          <w:color w:val="000000"/>
          <w:sz w:val="24"/>
          <w:szCs w:val="24"/>
        </w:rPr>
        <w:t xml:space="preserve">accounting conservatism requires a stronger verification for recognizing unrealized gains than losses, </w:t>
      </w:r>
      <w:r w:rsidR="006B1960">
        <w:rPr>
          <w:rFonts w:ascii="Times New Roman" w:eastAsia="Times New Roman" w:hAnsi="Times New Roman" w:cs="Times New Roman"/>
          <w:color w:val="000000"/>
          <w:sz w:val="24"/>
          <w:szCs w:val="24"/>
        </w:rPr>
        <w:t>conservative accounting</w:t>
      </w:r>
      <w:r w:rsidR="006D6DF5" w:rsidRPr="00EE337E">
        <w:rPr>
          <w:rFonts w:ascii="Times New Roman" w:eastAsia="Times New Roman" w:hAnsi="Times New Roman" w:cs="Times New Roman"/>
          <w:color w:val="000000"/>
          <w:sz w:val="24"/>
          <w:szCs w:val="24"/>
        </w:rPr>
        <w:t xml:space="preserve"> </w:t>
      </w:r>
      <w:r w:rsidR="006B1960">
        <w:rPr>
          <w:rFonts w:ascii="Times New Roman" w:eastAsia="Times New Roman" w:hAnsi="Times New Roman" w:cs="Times New Roman"/>
          <w:color w:val="000000"/>
          <w:sz w:val="24"/>
          <w:szCs w:val="24"/>
        </w:rPr>
        <w:t>numbers</w:t>
      </w:r>
      <w:r w:rsidR="006D6DF5" w:rsidRPr="00EE337E">
        <w:rPr>
          <w:rFonts w:ascii="Times New Roman" w:eastAsia="Times New Roman" w:hAnsi="Times New Roman" w:cs="Times New Roman"/>
          <w:color w:val="000000"/>
          <w:sz w:val="24"/>
          <w:szCs w:val="24"/>
        </w:rPr>
        <w:t xml:space="preserve"> based on highly verifiable information </w:t>
      </w:r>
      <w:r w:rsidR="00EE337E" w:rsidRPr="00EE337E">
        <w:rPr>
          <w:rFonts w:ascii="Times New Roman" w:eastAsia="Times New Roman" w:hAnsi="Times New Roman" w:cs="Times New Roman"/>
          <w:color w:val="000000"/>
          <w:sz w:val="24"/>
          <w:szCs w:val="24"/>
        </w:rPr>
        <w:t>demand</w:t>
      </w:r>
      <w:r w:rsidR="006D6DF5" w:rsidRPr="00EE337E">
        <w:rPr>
          <w:rFonts w:ascii="Times New Roman" w:eastAsia="Times New Roman" w:hAnsi="Times New Roman" w:cs="Times New Roman"/>
          <w:color w:val="000000"/>
          <w:sz w:val="24"/>
          <w:szCs w:val="24"/>
        </w:rPr>
        <w:t xml:space="preserve"> managers to commit to disclosing unverifiable information</w:t>
      </w:r>
      <w:r w:rsidR="00EE337E" w:rsidRPr="00EE337E">
        <w:rPr>
          <w:rFonts w:ascii="Times New Roman" w:eastAsia="Times New Roman" w:hAnsi="Times New Roman" w:cs="Times New Roman"/>
          <w:color w:val="000000"/>
          <w:sz w:val="24"/>
          <w:szCs w:val="24"/>
        </w:rPr>
        <w:t xml:space="preserve"> more</w:t>
      </w:r>
      <w:r w:rsidR="006D6DF5" w:rsidRPr="00EE337E">
        <w:rPr>
          <w:rFonts w:ascii="Times New Roman" w:eastAsia="Times New Roman" w:hAnsi="Times New Roman" w:cs="Times New Roman"/>
          <w:color w:val="000000"/>
          <w:sz w:val="24"/>
          <w:szCs w:val="24"/>
        </w:rPr>
        <w:t xml:space="preserve"> truthfully</w:t>
      </w:r>
      <w:r w:rsidR="00FA59EC">
        <w:rPr>
          <w:rFonts w:ascii="Times New Roman" w:eastAsia="Times New Roman" w:hAnsi="Times New Roman" w:cs="Times New Roman"/>
          <w:color w:val="000000"/>
          <w:sz w:val="24"/>
          <w:szCs w:val="24"/>
        </w:rPr>
        <w:t xml:space="preserve"> and precisely</w:t>
      </w:r>
      <w:r w:rsidR="00EE337E">
        <w:rPr>
          <w:rFonts w:ascii="Times New Roman" w:eastAsia="Times New Roman" w:hAnsi="Times New Roman" w:cs="Times New Roman"/>
          <w:color w:val="000000"/>
          <w:sz w:val="24"/>
          <w:szCs w:val="24"/>
        </w:rPr>
        <w:t>.</w:t>
      </w:r>
      <w:r w:rsidR="006D6DF5">
        <w:rPr>
          <w:rFonts w:ascii="Times New Roman" w:eastAsia="Times New Roman" w:hAnsi="Times New Roman" w:cs="Times New Roman"/>
          <w:i/>
          <w:color w:val="000000"/>
          <w:sz w:val="24"/>
          <w:szCs w:val="24"/>
        </w:rPr>
        <w:t xml:space="preserve"> </w:t>
      </w:r>
      <w:r w:rsidR="00FA59EC">
        <w:rPr>
          <w:rFonts w:ascii="Times New Roman" w:eastAsia="Times New Roman" w:hAnsi="Times New Roman" w:cs="Times New Roman"/>
          <w:color w:val="000000"/>
          <w:sz w:val="24"/>
          <w:szCs w:val="24"/>
        </w:rPr>
        <w:t>As a result</w:t>
      </w:r>
      <w:r w:rsidR="00FA59EC" w:rsidRPr="00FA59EC">
        <w:rPr>
          <w:rFonts w:ascii="Times New Roman" w:eastAsia="Times New Roman" w:hAnsi="Times New Roman" w:cs="Times New Roman"/>
          <w:color w:val="000000"/>
          <w:sz w:val="24"/>
          <w:szCs w:val="24"/>
        </w:rPr>
        <w:t xml:space="preserve">, this allows managers to credibly disclose their private information </w:t>
      </w:r>
      <w:r w:rsidR="006B1960">
        <w:rPr>
          <w:rFonts w:ascii="Times New Roman" w:eastAsia="Times New Roman" w:hAnsi="Times New Roman" w:cs="Times New Roman"/>
          <w:color w:val="000000"/>
          <w:sz w:val="24"/>
          <w:szCs w:val="24"/>
        </w:rPr>
        <w:t xml:space="preserve">although </w:t>
      </w:r>
      <w:r w:rsidR="008F2CC1">
        <w:rPr>
          <w:rFonts w:ascii="Times New Roman" w:eastAsia="Times New Roman" w:hAnsi="Times New Roman" w:cs="Times New Roman"/>
          <w:color w:val="000000"/>
          <w:sz w:val="24"/>
          <w:szCs w:val="24"/>
        </w:rPr>
        <w:t xml:space="preserve">that </w:t>
      </w:r>
      <w:r w:rsidR="00FA59EC" w:rsidRPr="00FA59EC">
        <w:rPr>
          <w:rFonts w:ascii="Times New Roman" w:eastAsia="Times New Roman" w:hAnsi="Times New Roman" w:cs="Times New Roman"/>
          <w:color w:val="000000"/>
          <w:sz w:val="24"/>
          <w:szCs w:val="24"/>
        </w:rPr>
        <w:t>is not directly verifiable, alleviating the problem that private information disclosure as a stand-alone mechanism is uninformative (Crawford and Sobel 1982; Ball et al. 2012</w:t>
      </w:r>
      <w:r w:rsidR="00CB1DCA">
        <w:rPr>
          <w:rFonts w:ascii="Times New Roman" w:eastAsia="Times New Roman" w:hAnsi="Times New Roman" w:cs="Times New Roman"/>
          <w:color w:val="000000"/>
          <w:sz w:val="24"/>
          <w:szCs w:val="24"/>
        </w:rPr>
        <w:t>). C</w:t>
      </w:r>
      <w:r w:rsidR="006B1960">
        <w:rPr>
          <w:rFonts w:ascii="Times New Roman" w:eastAsia="Times New Roman" w:hAnsi="Times New Roman" w:cs="Times New Roman"/>
          <w:color w:val="000000"/>
          <w:sz w:val="24"/>
          <w:szCs w:val="24"/>
        </w:rPr>
        <w:t>onservative reporting</w:t>
      </w:r>
      <w:r w:rsidR="00FA59EC" w:rsidRPr="00EE337E">
        <w:rPr>
          <w:rFonts w:ascii="Times New Roman" w:eastAsia="Times New Roman" w:hAnsi="Times New Roman" w:cs="Times New Roman"/>
          <w:color w:val="000000"/>
          <w:sz w:val="24"/>
          <w:szCs w:val="24"/>
        </w:rPr>
        <w:t xml:space="preserve"> and forward-looking </w:t>
      </w:r>
      <w:r w:rsidR="006B1960">
        <w:rPr>
          <w:rFonts w:ascii="Times New Roman" w:eastAsia="Times New Roman" w:hAnsi="Times New Roman" w:cs="Times New Roman"/>
          <w:color w:val="000000"/>
          <w:sz w:val="24"/>
          <w:szCs w:val="24"/>
        </w:rPr>
        <w:t>information</w:t>
      </w:r>
      <w:r w:rsidR="00FA59EC" w:rsidRPr="00EE337E">
        <w:rPr>
          <w:rFonts w:ascii="Times New Roman" w:eastAsia="Times New Roman" w:hAnsi="Times New Roman" w:cs="Times New Roman"/>
          <w:color w:val="000000"/>
          <w:sz w:val="24"/>
          <w:szCs w:val="24"/>
        </w:rPr>
        <w:t xml:space="preserve"> have a joint positive effect on </w:t>
      </w:r>
      <w:r w:rsidR="008F2CC1">
        <w:rPr>
          <w:rFonts w:ascii="Times New Roman" w:eastAsia="Times New Roman" w:hAnsi="Times New Roman" w:cs="Times New Roman"/>
          <w:color w:val="000000"/>
          <w:sz w:val="24"/>
          <w:szCs w:val="24"/>
        </w:rPr>
        <w:t xml:space="preserve">the </w:t>
      </w:r>
      <w:r w:rsidR="00FA59EC" w:rsidRPr="00EE337E">
        <w:rPr>
          <w:rFonts w:ascii="Times New Roman" w:eastAsia="Times New Roman" w:hAnsi="Times New Roman" w:cs="Times New Roman"/>
          <w:color w:val="000000"/>
          <w:sz w:val="24"/>
          <w:szCs w:val="24"/>
        </w:rPr>
        <w:t>firm information environment.</w:t>
      </w:r>
      <w:r w:rsidR="00FA59EC">
        <w:rPr>
          <w:rFonts w:ascii="Times New Roman" w:eastAsia="Times New Roman" w:hAnsi="Times New Roman" w:cs="Times New Roman"/>
          <w:color w:val="000000"/>
          <w:sz w:val="24"/>
          <w:szCs w:val="24"/>
        </w:rPr>
        <w:t xml:space="preserve"> Further, the value of </w:t>
      </w:r>
      <w:r w:rsidR="008F2CC1">
        <w:rPr>
          <w:rFonts w:ascii="Times New Roman" w:eastAsia="Times New Roman" w:hAnsi="Times New Roman" w:cs="Times New Roman"/>
          <w:color w:val="000000"/>
          <w:sz w:val="24"/>
          <w:szCs w:val="24"/>
        </w:rPr>
        <w:t xml:space="preserve">the </w:t>
      </w:r>
      <w:r w:rsidR="00FA59EC">
        <w:rPr>
          <w:rFonts w:ascii="Times New Roman" w:eastAsia="Times New Roman" w:hAnsi="Times New Roman" w:cs="Times New Roman"/>
          <w:color w:val="000000"/>
          <w:sz w:val="24"/>
          <w:szCs w:val="24"/>
        </w:rPr>
        <w:t xml:space="preserve">confirmation role created by the joint </w:t>
      </w:r>
      <w:r w:rsidR="007C456B">
        <w:rPr>
          <w:rFonts w:ascii="Times New Roman" w:eastAsia="Times New Roman" w:hAnsi="Times New Roman" w:cs="Times New Roman"/>
          <w:color w:val="000000"/>
          <w:sz w:val="24"/>
          <w:szCs w:val="24"/>
        </w:rPr>
        <w:t>effect</w:t>
      </w:r>
      <w:r w:rsidR="006B1960">
        <w:rPr>
          <w:rFonts w:ascii="Times New Roman" w:eastAsia="Times New Roman" w:hAnsi="Times New Roman" w:cs="Times New Roman"/>
          <w:color w:val="000000"/>
          <w:sz w:val="24"/>
          <w:szCs w:val="24"/>
        </w:rPr>
        <w:t>s</w:t>
      </w:r>
      <w:r w:rsidR="007C456B">
        <w:rPr>
          <w:rFonts w:ascii="Times New Roman" w:eastAsia="Times New Roman" w:hAnsi="Times New Roman" w:cs="Times New Roman"/>
          <w:color w:val="000000"/>
          <w:sz w:val="24"/>
          <w:szCs w:val="24"/>
        </w:rPr>
        <w:t xml:space="preserve"> of the two characteristics should be greater for firms that operate with high</w:t>
      </w:r>
      <w:r w:rsidR="006B1960">
        <w:rPr>
          <w:rFonts w:ascii="Times New Roman" w:eastAsia="Times New Roman" w:hAnsi="Times New Roman" w:cs="Times New Roman"/>
          <w:color w:val="000000"/>
          <w:sz w:val="24"/>
          <w:szCs w:val="24"/>
        </w:rPr>
        <w:t>er</w:t>
      </w:r>
      <w:r w:rsidR="007C456B">
        <w:rPr>
          <w:rFonts w:ascii="Times New Roman" w:eastAsia="Times New Roman" w:hAnsi="Times New Roman" w:cs="Times New Roman"/>
          <w:color w:val="000000"/>
          <w:sz w:val="24"/>
          <w:szCs w:val="24"/>
        </w:rPr>
        <w:t xml:space="preserve"> R&amp;D investments and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growth options and those owned by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institutional investors. </w:t>
      </w:r>
    </w:p>
    <w:p w14:paraId="0F943D51" w14:textId="01C02131" w:rsidR="00A0720B"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Our empirical</w:t>
      </w:r>
      <w:r w:rsidR="008F2CC1">
        <w:rPr>
          <w:rFonts w:ascii="Times New Roman" w:eastAsia="Times New Roman" w:hAnsi="Times New Roman" w:cs="Times New Roman"/>
          <w:color w:val="000000"/>
          <w:sz w:val="24"/>
          <w:szCs w:val="24"/>
        </w:rPr>
        <w:t xml:space="preserve"> results are consistent with</w:t>
      </w:r>
      <w:r w:rsidRPr="000B567A">
        <w:rPr>
          <w:rFonts w:ascii="Times New Roman" w:eastAsia="Times New Roman" w:hAnsi="Times New Roman" w:cs="Times New Roman"/>
          <w:color w:val="000000"/>
          <w:sz w:val="24"/>
          <w:szCs w:val="24"/>
        </w:rPr>
        <w:t xml:space="preserve"> theoretical predictions. We </w:t>
      </w:r>
      <w:r w:rsidR="00040B4A">
        <w:rPr>
          <w:rFonts w:ascii="Times New Roman" w:eastAsia="Times New Roman" w:hAnsi="Times New Roman" w:cs="Times New Roman"/>
          <w:color w:val="000000"/>
          <w:sz w:val="24"/>
          <w:szCs w:val="24"/>
        </w:rPr>
        <w:t>find</w:t>
      </w:r>
      <w:r w:rsidRPr="000B567A">
        <w:rPr>
          <w:rFonts w:ascii="Times New Roman" w:eastAsia="Times New Roman" w:hAnsi="Times New Roman" w:cs="Times New Roman"/>
          <w:color w:val="000000"/>
          <w:sz w:val="24"/>
          <w:szCs w:val="24"/>
        </w:rPr>
        <w:t xml:space="preserve"> that firms simultaneously characterized by </w:t>
      </w:r>
      <w:r w:rsidR="00040B4A">
        <w:rPr>
          <w:rFonts w:ascii="Times New Roman" w:eastAsia="Times New Roman" w:hAnsi="Times New Roman" w:cs="Times New Roman"/>
          <w:color w:val="000000"/>
          <w:sz w:val="24"/>
          <w:szCs w:val="24"/>
        </w:rPr>
        <w:t>more conservative reporting</w:t>
      </w:r>
      <w:r w:rsidRPr="000B567A">
        <w:rPr>
          <w:rFonts w:ascii="Times New Roman" w:eastAsia="Times New Roman" w:hAnsi="Times New Roman" w:cs="Times New Roman"/>
          <w:color w:val="000000"/>
          <w:sz w:val="24"/>
          <w:szCs w:val="24"/>
        </w:rPr>
        <w:t xml:space="preserve"> </w:t>
      </w:r>
      <w:r w:rsidR="007C456B" w:rsidRPr="000B567A">
        <w:rPr>
          <w:rFonts w:ascii="Times New Roman" w:eastAsia="Times New Roman" w:hAnsi="Times New Roman" w:cs="Times New Roman"/>
          <w:color w:val="000000"/>
          <w:sz w:val="24"/>
          <w:szCs w:val="24"/>
        </w:rPr>
        <w:t xml:space="preserve">and providing forward-looking disclosures </w:t>
      </w:r>
      <w:r w:rsidRPr="000B567A">
        <w:rPr>
          <w:rFonts w:ascii="Times New Roman" w:eastAsia="Times New Roman" w:hAnsi="Times New Roman" w:cs="Times New Roman"/>
          <w:color w:val="000000"/>
          <w:sz w:val="24"/>
          <w:szCs w:val="24"/>
        </w:rPr>
        <w:t xml:space="preserve">exhibit </w:t>
      </w:r>
      <w:r w:rsidR="007C456B" w:rsidRPr="000B567A">
        <w:rPr>
          <w:rFonts w:ascii="Times New Roman" w:eastAsia="Times New Roman" w:hAnsi="Times New Roman" w:cs="Times New Roman"/>
          <w:color w:val="000000"/>
          <w:sz w:val="24"/>
          <w:szCs w:val="24"/>
        </w:rPr>
        <w:t>better information environment</w:t>
      </w:r>
      <w:r w:rsidRPr="000B567A">
        <w:rPr>
          <w:rFonts w:ascii="Times New Roman" w:eastAsia="Times New Roman" w:hAnsi="Times New Roman" w:cs="Times New Roman"/>
          <w:color w:val="000000"/>
          <w:sz w:val="24"/>
          <w:szCs w:val="24"/>
        </w:rPr>
        <w:t xml:space="preserve">, as measured by </w:t>
      </w:r>
      <w:r w:rsidR="007C456B" w:rsidRPr="000B567A">
        <w:rPr>
          <w:rFonts w:ascii="Times New Roman" w:eastAsia="Times New Roman" w:hAnsi="Times New Roman" w:cs="Times New Roman"/>
          <w:color w:val="000000"/>
          <w:sz w:val="24"/>
          <w:szCs w:val="24"/>
        </w:rPr>
        <w:t xml:space="preserve">smaller bid-ask spreads and </w:t>
      </w:r>
      <w:r w:rsidR="007C456B" w:rsidRPr="000B567A">
        <w:rPr>
          <w:rFonts w:ascii="Times New Roman" w:eastAsia="Times New Roman" w:hAnsi="Times New Roman" w:cs="Times New Roman"/>
          <w:color w:val="000000"/>
          <w:sz w:val="24"/>
          <w:szCs w:val="24"/>
        </w:rPr>
        <w:lastRenderedPageBreak/>
        <w:t>more accurate and less dispersed analyst forecasts</w:t>
      </w:r>
      <w:r w:rsidRPr="000B567A">
        <w:rPr>
          <w:rFonts w:ascii="Times New Roman" w:eastAsia="Times New Roman" w:hAnsi="Times New Roman" w:cs="Times New Roman"/>
          <w:color w:val="000000"/>
          <w:sz w:val="24"/>
          <w:szCs w:val="24"/>
        </w:rPr>
        <w:t xml:space="preserve">. </w:t>
      </w:r>
      <w:r w:rsidR="00C175AE">
        <w:rPr>
          <w:rFonts w:ascii="Times New Roman" w:eastAsia="Times New Roman" w:hAnsi="Times New Roman" w:cs="Times New Roman"/>
          <w:color w:val="000000"/>
          <w:sz w:val="24"/>
          <w:szCs w:val="24"/>
        </w:rPr>
        <w:t>In additional analyses, w</w:t>
      </w:r>
      <w:r w:rsidRPr="000B567A">
        <w:rPr>
          <w:rFonts w:ascii="Times New Roman" w:eastAsia="Times New Roman" w:hAnsi="Times New Roman" w:cs="Times New Roman"/>
          <w:color w:val="000000"/>
          <w:sz w:val="24"/>
          <w:szCs w:val="24"/>
        </w:rPr>
        <w:t xml:space="preserve">e </w:t>
      </w:r>
      <w:r w:rsidR="00C175AE">
        <w:rPr>
          <w:rFonts w:ascii="Times New Roman" w:eastAsia="Times New Roman" w:hAnsi="Times New Roman" w:cs="Times New Roman"/>
          <w:color w:val="000000"/>
          <w:sz w:val="24"/>
          <w:szCs w:val="24"/>
        </w:rPr>
        <w:t xml:space="preserve">find </w:t>
      </w:r>
      <w:r w:rsidRPr="000B567A">
        <w:rPr>
          <w:rFonts w:ascii="Times New Roman" w:eastAsia="Times New Roman" w:hAnsi="Times New Roman" w:cs="Times New Roman"/>
          <w:color w:val="000000"/>
          <w:sz w:val="24"/>
          <w:szCs w:val="24"/>
        </w:rPr>
        <w:t>that the joint effect</w:t>
      </w:r>
      <w:r w:rsidR="006B1960">
        <w:rPr>
          <w:rFonts w:ascii="Times New Roman" w:eastAsia="Times New Roman" w:hAnsi="Times New Roman" w:cs="Times New Roman"/>
          <w:color w:val="000000"/>
          <w:sz w:val="24"/>
          <w:szCs w:val="24"/>
        </w:rPr>
        <w:t>s</w:t>
      </w:r>
      <w:r w:rsidRPr="000B567A">
        <w:rPr>
          <w:rFonts w:ascii="Times New Roman" w:eastAsia="Times New Roman" w:hAnsi="Times New Roman" w:cs="Times New Roman"/>
          <w:color w:val="000000"/>
          <w:sz w:val="24"/>
          <w:szCs w:val="24"/>
        </w:rPr>
        <w:t xml:space="preserve"> of </w:t>
      </w:r>
      <w:r w:rsidR="007C456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firm </w:t>
      </w:r>
      <w:r w:rsidR="007C456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is stronger </w:t>
      </w:r>
      <w:r w:rsidR="0042764D">
        <w:rPr>
          <w:rFonts w:ascii="Times New Roman" w:eastAsia="Times New Roman" w:hAnsi="Times New Roman" w:cs="Times New Roman"/>
          <w:color w:val="000000"/>
          <w:sz w:val="24"/>
          <w:szCs w:val="24"/>
        </w:rPr>
        <w:t xml:space="preserve">among </w:t>
      </w:r>
      <w:r w:rsidRPr="000B567A">
        <w:rPr>
          <w:rFonts w:ascii="Times New Roman" w:eastAsia="Times New Roman" w:hAnsi="Times New Roman" w:cs="Times New Roman"/>
          <w:color w:val="000000"/>
          <w:sz w:val="24"/>
          <w:szCs w:val="24"/>
        </w:rPr>
        <w:t>firms facing uncertainty</w:t>
      </w:r>
      <w:r w:rsidR="007C456B" w:rsidRPr="000B567A">
        <w:rPr>
          <w:rFonts w:ascii="Times New Roman" w:eastAsia="Times New Roman" w:hAnsi="Times New Roman" w:cs="Times New Roman"/>
          <w:color w:val="000000"/>
          <w:sz w:val="24"/>
          <w:szCs w:val="24"/>
        </w:rPr>
        <w:t xml:space="preserve"> for their </w:t>
      </w:r>
      <w:r w:rsidR="0042764D">
        <w:rPr>
          <w:rFonts w:ascii="Times New Roman" w:eastAsia="Times New Roman" w:hAnsi="Times New Roman" w:cs="Times New Roman"/>
          <w:color w:val="000000"/>
          <w:sz w:val="24"/>
          <w:szCs w:val="24"/>
        </w:rPr>
        <w:t xml:space="preserve">higher </w:t>
      </w:r>
      <w:r w:rsidR="007C456B" w:rsidRPr="000B567A">
        <w:rPr>
          <w:rFonts w:ascii="Times New Roman" w:eastAsia="Times New Roman" w:hAnsi="Times New Roman" w:cs="Times New Roman"/>
          <w:color w:val="000000"/>
          <w:sz w:val="24"/>
          <w:szCs w:val="24"/>
        </w:rPr>
        <w:t xml:space="preserve">R&amp;D investments and growth options and those </w:t>
      </w:r>
      <w:r w:rsidR="006B1960">
        <w:rPr>
          <w:rFonts w:ascii="Times New Roman" w:eastAsia="Times New Roman" w:hAnsi="Times New Roman" w:cs="Times New Roman"/>
          <w:color w:val="000000"/>
          <w:sz w:val="24"/>
          <w:szCs w:val="24"/>
        </w:rPr>
        <w:t xml:space="preserve">with greater </w:t>
      </w:r>
      <w:r w:rsidR="007C456B" w:rsidRPr="000B567A">
        <w:rPr>
          <w:rFonts w:ascii="Times New Roman" w:eastAsia="Times New Roman" w:hAnsi="Times New Roman" w:cs="Times New Roman"/>
          <w:color w:val="000000"/>
          <w:sz w:val="24"/>
          <w:szCs w:val="24"/>
        </w:rPr>
        <w:t xml:space="preserve">institutional </w:t>
      </w:r>
      <w:r w:rsidR="006B1960">
        <w:rPr>
          <w:rFonts w:ascii="Times New Roman" w:eastAsia="Times New Roman" w:hAnsi="Times New Roman" w:cs="Times New Roman"/>
          <w:color w:val="000000"/>
          <w:sz w:val="24"/>
          <w:szCs w:val="24"/>
        </w:rPr>
        <w:t>ownership</w:t>
      </w:r>
      <w:r w:rsidR="00040B4A">
        <w:rPr>
          <w:rFonts w:ascii="Times New Roman" w:eastAsia="Times New Roman" w:hAnsi="Times New Roman" w:cs="Times New Roman"/>
          <w:color w:val="000000"/>
          <w:sz w:val="24"/>
          <w:szCs w:val="24"/>
        </w:rPr>
        <w:t xml:space="preserve">. We also show that </w:t>
      </w:r>
      <w:r w:rsidR="00F16052">
        <w:rPr>
          <w:rFonts w:ascii="Times New Roman" w:eastAsia="Times New Roman" w:hAnsi="Times New Roman" w:cs="Times New Roman"/>
          <w:color w:val="000000"/>
          <w:sz w:val="24"/>
          <w:szCs w:val="24"/>
        </w:rPr>
        <w:t xml:space="preserve">the firm’s commitment to </w:t>
      </w:r>
      <w:r w:rsidR="00040B4A">
        <w:rPr>
          <w:rFonts w:ascii="Times New Roman" w:eastAsia="Times New Roman" w:hAnsi="Times New Roman" w:cs="Times New Roman"/>
          <w:color w:val="000000"/>
          <w:sz w:val="24"/>
          <w:szCs w:val="24"/>
        </w:rPr>
        <w:t xml:space="preserve">more conservative reporting </w:t>
      </w:r>
      <w:r w:rsidR="00F16052">
        <w:rPr>
          <w:rFonts w:ascii="Times New Roman" w:eastAsia="Times New Roman" w:hAnsi="Times New Roman" w:cs="Times New Roman"/>
          <w:color w:val="000000"/>
          <w:sz w:val="24"/>
          <w:szCs w:val="24"/>
        </w:rPr>
        <w:t xml:space="preserve">Granger causes more forward-looking information in their voluntary disclosure. </w:t>
      </w:r>
      <w:r w:rsidR="00A0720B">
        <w:rPr>
          <w:rFonts w:ascii="Times New Roman" w:eastAsia="Times New Roman" w:hAnsi="Times New Roman" w:cs="Times New Roman"/>
          <w:color w:val="000000"/>
          <w:sz w:val="24"/>
          <w:szCs w:val="24"/>
        </w:rPr>
        <w:t xml:space="preserve">Firms with greater conservatism provide more positive- toned, qualitative non-earnings related, and non-financial forward-looking information in their calls, while managers in these firms reduce negative- toned forward-looking disclosure when communicating with the analysts and investors. </w:t>
      </w:r>
      <w:r w:rsidR="00E03EFD">
        <w:rPr>
          <w:rFonts w:ascii="Times New Roman" w:eastAsia="Times New Roman" w:hAnsi="Times New Roman" w:cs="Times New Roman"/>
          <w:color w:val="000000"/>
          <w:sz w:val="24"/>
          <w:szCs w:val="24"/>
        </w:rPr>
        <w:t xml:space="preserve">Our results are consistent with the notion that </w:t>
      </w:r>
      <w:r w:rsidR="00A0720B">
        <w:rPr>
          <w:rFonts w:ascii="Times New Roman" w:eastAsia="Times New Roman" w:hAnsi="Times New Roman" w:cs="Times New Roman"/>
          <w:color w:val="000000"/>
          <w:sz w:val="24"/>
          <w:szCs w:val="24"/>
        </w:rPr>
        <w:t xml:space="preserve">conservative reporting enhances the information value of managerial forward-looking </w:t>
      </w:r>
      <w:r w:rsidR="00E03EFD">
        <w:rPr>
          <w:rFonts w:ascii="Times New Roman" w:eastAsia="Times New Roman" w:hAnsi="Times New Roman" w:cs="Times New Roman"/>
          <w:color w:val="000000"/>
          <w:sz w:val="24"/>
          <w:szCs w:val="24"/>
        </w:rPr>
        <w:t xml:space="preserve">voluntary </w:t>
      </w:r>
      <w:r w:rsidR="00A0720B">
        <w:rPr>
          <w:rFonts w:ascii="Times New Roman" w:eastAsia="Times New Roman" w:hAnsi="Times New Roman" w:cs="Times New Roman"/>
          <w:color w:val="000000"/>
          <w:sz w:val="24"/>
          <w:szCs w:val="24"/>
        </w:rPr>
        <w:t xml:space="preserve">disclosure. In other words, the signals of managers’ private information </w:t>
      </w:r>
      <w:r w:rsidR="00E03EFD">
        <w:rPr>
          <w:rFonts w:ascii="Times New Roman" w:eastAsia="Times New Roman" w:hAnsi="Times New Roman" w:cs="Times New Roman"/>
          <w:color w:val="000000"/>
          <w:sz w:val="24"/>
          <w:szCs w:val="24"/>
        </w:rPr>
        <w:t xml:space="preserve">in the calls </w:t>
      </w:r>
      <w:r w:rsidR="00A0720B">
        <w:rPr>
          <w:rFonts w:ascii="Times New Roman" w:eastAsia="Times New Roman" w:hAnsi="Times New Roman" w:cs="Times New Roman"/>
          <w:color w:val="000000"/>
          <w:sz w:val="24"/>
          <w:szCs w:val="24"/>
        </w:rPr>
        <w:t xml:space="preserve">are complements, not substitutes. </w:t>
      </w:r>
    </w:p>
    <w:p w14:paraId="0B6037A5" w14:textId="6C9B5E0D" w:rsidR="00C24CCA" w:rsidRPr="000B567A"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 xml:space="preserve">This paper contributes to </w:t>
      </w:r>
      <w:r w:rsidR="00E03EFD">
        <w:rPr>
          <w:rFonts w:ascii="Times New Roman" w:eastAsia="Times New Roman" w:hAnsi="Times New Roman" w:cs="Times New Roman"/>
          <w:color w:val="000000"/>
          <w:sz w:val="24"/>
          <w:szCs w:val="24"/>
        </w:rPr>
        <w:t xml:space="preserve">our understanding of </w:t>
      </w:r>
      <w:r w:rsidRPr="000B567A">
        <w:rPr>
          <w:rFonts w:ascii="Times New Roman" w:eastAsia="Times New Roman" w:hAnsi="Times New Roman" w:cs="Times New Roman"/>
          <w:color w:val="000000"/>
          <w:sz w:val="24"/>
          <w:szCs w:val="24"/>
        </w:rPr>
        <w:t xml:space="preserve">the </w:t>
      </w:r>
      <w:r w:rsidR="00640F8B" w:rsidRPr="000B567A">
        <w:rPr>
          <w:rFonts w:ascii="Times New Roman" w:eastAsia="Times New Roman" w:hAnsi="Times New Roman" w:cs="Times New Roman"/>
          <w:color w:val="000000"/>
          <w:sz w:val="24"/>
          <w:szCs w:val="24"/>
        </w:rPr>
        <w:t xml:space="preserve">information confirmation role </w:t>
      </w:r>
      <w:r w:rsidRPr="000B567A">
        <w:rPr>
          <w:rFonts w:ascii="Times New Roman" w:eastAsia="Times New Roman" w:hAnsi="Times New Roman" w:cs="Times New Roman"/>
          <w:color w:val="000000"/>
          <w:sz w:val="24"/>
          <w:szCs w:val="24"/>
        </w:rPr>
        <w:t xml:space="preserve">by </w:t>
      </w:r>
      <w:r w:rsidR="00E03EFD">
        <w:rPr>
          <w:rFonts w:ascii="Times New Roman" w:eastAsia="Times New Roman" w:hAnsi="Times New Roman" w:cs="Times New Roman"/>
          <w:color w:val="000000"/>
          <w:sz w:val="24"/>
          <w:szCs w:val="24"/>
        </w:rPr>
        <w:t xml:space="preserve">accounting conservatism, and of </w:t>
      </w:r>
      <w:r w:rsidRPr="000B567A">
        <w:rPr>
          <w:rFonts w:ascii="Times New Roman" w:eastAsia="Times New Roman" w:hAnsi="Times New Roman" w:cs="Times New Roman"/>
          <w:color w:val="000000"/>
          <w:sz w:val="24"/>
          <w:szCs w:val="24"/>
        </w:rPr>
        <w:t xml:space="preserve">the joint effect of managerial </w:t>
      </w:r>
      <w:r w:rsidR="00640F8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the </w:t>
      </w:r>
      <w:r w:rsidR="00E03EFD">
        <w:rPr>
          <w:rFonts w:ascii="Times New Roman" w:eastAsia="Times New Roman" w:hAnsi="Times New Roman" w:cs="Times New Roman"/>
          <w:color w:val="000000"/>
          <w:sz w:val="24"/>
          <w:szCs w:val="24"/>
        </w:rPr>
        <w:t xml:space="preserve">firm </w:t>
      </w:r>
      <w:r w:rsidR="00640F8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 xml:space="preserve">The timeliness of </w:t>
      </w:r>
      <w:r w:rsidR="003836AE">
        <w:rPr>
          <w:rFonts w:ascii="Times New Roman" w:eastAsia="Times New Roman" w:hAnsi="Times New Roman" w:cs="Times New Roman"/>
          <w:color w:val="000000"/>
          <w:sz w:val="24"/>
          <w:szCs w:val="24"/>
        </w:rPr>
        <w:t>financial statement information through conservative reporting does not correspond with the timeliness with which analysts and investors become informe</w:t>
      </w:r>
      <w:r w:rsidR="00D05FF8">
        <w:rPr>
          <w:rFonts w:ascii="Times New Roman" w:eastAsia="Times New Roman" w:hAnsi="Times New Roman" w:cs="Times New Roman"/>
          <w:color w:val="000000"/>
          <w:sz w:val="24"/>
          <w:szCs w:val="24"/>
        </w:rPr>
        <w:t xml:space="preserve">d about the firm future growth. Although </w:t>
      </w:r>
      <w:r w:rsidR="003836AE">
        <w:rPr>
          <w:rFonts w:ascii="Times New Roman" w:eastAsia="Times New Roman" w:hAnsi="Times New Roman" w:cs="Times New Roman"/>
          <w:color w:val="000000"/>
          <w:sz w:val="24"/>
          <w:szCs w:val="24"/>
        </w:rPr>
        <w:t xml:space="preserve">incorporating unverifiable expectational information into conservatively reported accounting earnings can decrease the reliability of the financial statements, conservatism enhances the quantity </w:t>
      </w:r>
      <w:r w:rsidR="00D05FF8">
        <w:rPr>
          <w:rFonts w:ascii="Times New Roman" w:eastAsia="Times New Roman" w:hAnsi="Times New Roman" w:cs="Times New Roman"/>
          <w:color w:val="000000"/>
          <w:sz w:val="24"/>
          <w:szCs w:val="24"/>
        </w:rPr>
        <w:t>of credible</w:t>
      </w:r>
      <w:r w:rsidR="003836AE">
        <w:rPr>
          <w:rFonts w:ascii="Times New Roman" w:eastAsia="Times New Roman" w:hAnsi="Times New Roman" w:cs="Times New Roman"/>
          <w:color w:val="000000"/>
          <w:sz w:val="24"/>
          <w:szCs w:val="24"/>
        </w:rPr>
        <w:t xml:space="preserve"> forward-looking</w:t>
      </w:r>
      <w:r w:rsidR="00D05FF8">
        <w:rPr>
          <w:rFonts w:ascii="Times New Roman" w:eastAsia="Times New Roman" w:hAnsi="Times New Roman" w:cs="Times New Roman"/>
          <w:color w:val="000000"/>
          <w:sz w:val="24"/>
          <w:szCs w:val="24"/>
        </w:rPr>
        <w:t>, timely private</w:t>
      </w:r>
      <w:r w:rsidR="003836AE">
        <w:rPr>
          <w:rFonts w:ascii="Times New Roman" w:eastAsia="Times New Roman" w:hAnsi="Times New Roman" w:cs="Times New Roman"/>
          <w:color w:val="000000"/>
          <w:sz w:val="24"/>
          <w:szCs w:val="24"/>
        </w:rPr>
        <w:t xml:space="preserve"> information disclosed by managers by impacting their ability to credibility commit to truthfulness</w:t>
      </w:r>
      <w:r w:rsidR="00D05FF8">
        <w:rPr>
          <w:rFonts w:ascii="Times New Roman" w:eastAsia="Times New Roman" w:hAnsi="Times New Roman" w:cs="Times New Roman"/>
          <w:color w:val="000000"/>
          <w:sz w:val="24"/>
          <w:szCs w:val="24"/>
        </w:rPr>
        <w:t xml:space="preserve"> (see Ball et al. 2012)</w:t>
      </w:r>
      <w:r w:rsidR="003836AE">
        <w:rPr>
          <w:rFonts w:ascii="Times New Roman" w:eastAsia="Times New Roman" w:hAnsi="Times New Roman" w:cs="Times New Roman"/>
          <w:color w:val="000000"/>
          <w:sz w:val="24"/>
          <w:szCs w:val="24"/>
        </w:rPr>
        <w:t>.</w:t>
      </w:r>
      <w:r w:rsidR="00D05FF8">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These forward-looking statements are overlooked in prior studies</w:t>
      </w:r>
      <w:r w:rsidR="00D05FF8">
        <w:rPr>
          <w:rFonts w:ascii="Times New Roman" w:eastAsia="Times New Roman" w:hAnsi="Times New Roman" w:cs="Times New Roman"/>
          <w:color w:val="000000"/>
          <w:sz w:val="24"/>
          <w:szCs w:val="24"/>
        </w:rPr>
        <w:t xml:space="preserve"> (e.g., Hui et al. 2009; </w:t>
      </w:r>
      <w:proofErr w:type="spellStart"/>
      <w:r w:rsidR="00D05FF8">
        <w:rPr>
          <w:rFonts w:ascii="Times New Roman" w:eastAsia="Times New Roman" w:hAnsi="Times New Roman" w:cs="Times New Roman"/>
          <w:color w:val="000000"/>
          <w:sz w:val="24"/>
          <w:szCs w:val="24"/>
        </w:rPr>
        <w:t>Bozanic</w:t>
      </w:r>
      <w:proofErr w:type="spellEnd"/>
      <w:r w:rsidR="00D05FF8">
        <w:rPr>
          <w:rFonts w:ascii="Times New Roman" w:eastAsia="Times New Roman" w:hAnsi="Times New Roman" w:cs="Times New Roman"/>
          <w:color w:val="000000"/>
          <w:sz w:val="24"/>
          <w:szCs w:val="24"/>
        </w:rPr>
        <w:t xml:space="preserve"> et al. 2018)</w:t>
      </w:r>
      <w:r w:rsidR="00E03EFD">
        <w:rPr>
          <w:rFonts w:ascii="Times New Roman" w:eastAsia="Times New Roman" w:hAnsi="Times New Roman" w:cs="Times New Roman"/>
          <w:color w:val="000000"/>
          <w:sz w:val="24"/>
          <w:szCs w:val="24"/>
        </w:rPr>
        <w:t xml:space="preserve">, because the increased disclosure consists of primarily non-quantitative, non-earnings related, and </w:t>
      </w:r>
      <w:r w:rsidR="00E03EFD">
        <w:rPr>
          <w:rFonts w:ascii="Times New Roman" w:eastAsia="Times New Roman" w:hAnsi="Times New Roman" w:cs="Times New Roman"/>
          <w:color w:val="000000"/>
          <w:sz w:val="24"/>
          <w:szCs w:val="24"/>
        </w:rPr>
        <w:lastRenderedPageBreak/>
        <w:t xml:space="preserve">non-financial and positive- toned </w:t>
      </w:r>
      <w:r w:rsidR="00D6647B">
        <w:rPr>
          <w:rFonts w:ascii="Times New Roman" w:eastAsia="Times New Roman" w:hAnsi="Times New Roman" w:cs="Times New Roman"/>
          <w:color w:val="000000"/>
          <w:sz w:val="24"/>
          <w:szCs w:val="24"/>
        </w:rPr>
        <w:t xml:space="preserve">prospective </w:t>
      </w:r>
      <w:r w:rsidR="00E03EFD">
        <w:rPr>
          <w:rFonts w:ascii="Times New Roman" w:eastAsia="Times New Roman" w:hAnsi="Times New Roman" w:cs="Times New Roman"/>
          <w:color w:val="000000"/>
          <w:sz w:val="24"/>
          <w:szCs w:val="24"/>
        </w:rPr>
        <w:t xml:space="preserve">statements. </w:t>
      </w:r>
      <w:r w:rsidR="00BA68C8" w:rsidRPr="000B567A">
        <w:rPr>
          <w:rFonts w:ascii="Times New Roman" w:eastAsia="Times New Roman" w:hAnsi="Times New Roman" w:cs="Times New Roman"/>
          <w:color w:val="000000"/>
          <w:sz w:val="24"/>
          <w:szCs w:val="24"/>
        </w:rPr>
        <w:t xml:space="preserve">Our </w:t>
      </w:r>
      <w:r w:rsidR="001F6C84" w:rsidRPr="000B567A">
        <w:rPr>
          <w:rFonts w:ascii="Times New Roman" w:eastAsia="Times New Roman" w:hAnsi="Times New Roman" w:cs="Times New Roman"/>
          <w:color w:val="000000"/>
          <w:sz w:val="24"/>
          <w:szCs w:val="24"/>
        </w:rPr>
        <w:t>paper</w:t>
      </w:r>
      <w:r w:rsidR="00BA68C8" w:rsidRPr="000B567A">
        <w:rPr>
          <w:rFonts w:ascii="Times New Roman" w:eastAsia="Times New Roman" w:hAnsi="Times New Roman" w:cs="Times New Roman"/>
          <w:color w:val="000000"/>
          <w:sz w:val="24"/>
          <w:szCs w:val="24"/>
        </w:rPr>
        <w:t xml:space="preserve"> </w:t>
      </w:r>
      <w:r w:rsidR="0042764D">
        <w:rPr>
          <w:rFonts w:ascii="Times New Roman" w:eastAsia="Times New Roman" w:hAnsi="Times New Roman" w:cs="Times New Roman"/>
          <w:color w:val="000000"/>
          <w:sz w:val="24"/>
          <w:szCs w:val="24"/>
        </w:rPr>
        <w:t xml:space="preserve">provides new evidence </w:t>
      </w:r>
      <w:r w:rsidR="00D05FF8">
        <w:rPr>
          <w:rFonts w:ascii="Times New Roman" w:eastAsia="Times New Roman" w:hAnsi="Times New Roman" w:cs="Times New Roman"/>
          <w:color w:val="000000"/>
          <w:sz w:val="24"/>
          <w:szCs w:val="24"/>
        </w:rPr>
        <w:t>consistent with</w:t>
      </w:r>
      <w:r w:rsidR="0042764D">
        <w:rPr>
          <w:rFonts w:ascii="Times New Roman" w:eastAsia="Times New Roman" w:hAnsi="Times New Roman" w:cs="Times New Roman"/>
          <w:color w:val="000000"/>
          <w:sz w:val="24"/>
          <w:szCs w:val="24"/>
        </w:rPr>
        <w:t xml:space="preserve"> </w:t>
      </w:r>
      <w:r w:rsidR="00BA68C8" w:rsidRPr="000B567A">
        <w:rPr>
          <w:rFonts w:ascii="Times New Roman" w:eastAsia="Times New Roman" w:hAnsi="Times New Roman" w:cs="Times New Roman"/>
          <w:color w:val="000000"/>
          <w:sz w:val="24"/>
          <w:szCs w:val="24"/>
        </w:rPr>
        <w:t xml:space="preserve">Ball et al. (2012) that </w:t>
      </w:r>
      <w:r w:rsidR="0042764D">
        <w:rPr>
          <w:rFonts w:ascii="Times New Roman" w:eastAsia="Times New Roman" w:hAnsi="Times New Roman" w:cs="Times New Roman"/>
          <w:color w:val="000000"/>
          <w:sz w:val="24"/>
          <w:szCs w:val="24"/>
        </w:rPr>
        <w:t xml:space="preserve">verifiable information via </w:t>
      </w:r>
      <w:r w:rsidR="00BA68C8" w:rsidRPr="000B567A">
        <w:rPr>
          <w:rFonts w:ascii="Times New Roman" w:eastAsia="Times New Roman" w:hAnsi="Times New Roman" w:cs="Times New Roman"/>
          <w:color w:val="000000"/>
          <w:sz w:val="24"/>
          <w:szCs w:val="24"/>
        </w:rPr>
        <w:t>financial statement</w:t>
      </w:r>
      <w:r w:rsidR="0042764D">
        <w:rPr>
          <w:rFonts w:ascii="Times New Roman" w:eastAsia="Times New Roman" w:hAnsi="Times New Roman" w:cs="Times New Roman"/>
          <w:color w:val="000000"/>
          <w:sz w:val="24"/>
          <w:szCs w:val="24"/>
        </w:rPr>
        <w:t>s</w:t>
      </w:r>
      <w:r w:rsidR="00BA68C8" w:rsidRPr="000B567A">
        <w:rPr>
          <w:rFonts w:ascii="Times New Roman" w:eastAsia="Times New Roman" w:hAnsi="Times New Roman" w:cs="Times New Roman"/>
          <w:color w:val="000000"/>
          <w:sz w:val="24"/>
          <w:szCs w:val="24"/>
        </w:rPr>
        <w:t xml:space="preserve"> </w:t>
      </w:r>
      <w:r w:rsidR="001F6C84" w:rsidRPr="000B567A">
        <w:rPr>
          <w:rFonts w:ascii="Times New Roman" w:eastAsia="Times New Roman" w:hAnsi="Times New Roman" w:cs="Times New Roman"/>
          <w:color w:val="000000"/>
          <w:sz w:val="24"/>
          <w:szCs w:val="24"/>
        </w:rPr>
        <w:t xml:space="preserve">and </w:t>
      </w:r>
      <w:r w:rsidR="0042764D">
        <w:rPr>
          <w:rFonts w:ascii="Times New Roman" w:eastAsia="Times New Roman" w:hAnsi="Times New Roman" w:cs="Times New Roman"/>
          <w:color w:val="000000"/>
          <w:sz w:val="24"/>
          <w:szCs w:val="24"/>
        </w:rPr>
        <w:t>non-verifiable</w:t>
      </w:r>
      <w:r w:rsidR="00D05FF8">
        <w:rPr>
          <w:rFonts w:ascii="Times New Roman" w:eastAsia="Times New Roman" w:hAnsi="Times New Roman" w:cs="Times New Roman"/>
          <w:color w:val="000000"/>
          <w:sz w:val="24"/>
          <w:szCs w:val="24"/>
        </w:rPr>
        <w:t xml:space="preserve"> managerial</w:t>
      </w:r>
      <w:r w:rsidR="0042764D">
        <w:rPr>
          <w:rFonts w:ascii="Times New Roman" w:eastAsia="Times New Roman" w:hAnsi="Times New Roman" w:cs="Times New Roman"/>
          <w:color w:val="000000"/>
          <w:sz w:val="24"/>
          <w:szCs w:val="24"/>
        </w:rPr>
        <w:t xml:space="preserve"> </w:t>
      </w:r>
      <w:r w:rsidR="00D05FF8">
        <w:rPr>
          <w:rFonts w:ascii="Times New Roman" w:eastAsia="Times New Roman" w:hAnsi="Times New Roman" w:cs="Times New Roman"/>
          <w:color w:val="000000"/>
          <w:sz w:val="24"/>
          <w:szCs w:val="24"/>
        </w:rPr>
        <w:t xml:space="preserve">timely private </w:t>
      </w:r>
      <w:r w:rsidR="0042764D">
        <w:rPr>
          <w:rFonts w:ascii="Times New Roman" w:eastAsia="Times New Roman" w:hAnsi="Times New Roman" w:cs="Times New Roman"/>
          <w:color w:val="000000"/>
          <w:sz w:val="24"/>
          <w:szCs w:val="24"/>
        </w:rPr>
        <w:t xml:space="preserve">information through </w:t>
      </w:r>
      <w:r w:rsidR="00D05FF8">
        <w:rPr>
          <w:rFonts w:ascii="Times New Roman" w:eastAsia="Times New Roman" w:hAnsi="Times New Roman" w:cs="Times New Roman"/>
          <w:color w:val="000000"/>
          <w:sz w:val="24"/>
          <w:szCs w:val="24"/>
        </w:rPr>
        <w:t>other media</w:t>
      </w:r>
      <w:r w:rsidR="001F6C84" w:rsidRPr="000B567A">
        <w:rPr>
          <w:rFonts w:ascii="Times New Roman" w:eastAsia="Times New Roman" w:hAnsi="Times New Roman" w:cs="Times New Roman"/>
          <w:color w:val="000000"/>
          <w:sz w:val="24"/>
          <w:szCs w:val="24"/>
        </w:rPr>
        <w:t xml:space="preserve"> are complements, not substitutes. </w:t>
      </w:r>
      <w:r w:rsidRPr="000B567A">
        <w:rPr>
          <w:rFonts w:ascii="Times New Roman" w:eastAsia="Times New Roman" w:hAnsi="Times New Roman" w:cs="Times New Roman"/>
          <w:color w:val="000000"/>
          <w:sz w:val="24"/>
          <w:szCs w:val="24"/>
        </w:rPr>
        <w:t xml:space="preserve">We believe that the application of the </w:t>
      </w:r>
      <w:r w:rsidR="000B567A" w:rsidRPr="000B567A">
        <w:rPr>
          <w:rFonts w:ascii="Times New Roman" w:eastAsia="Times New Roman" w:hAnsi="Times New Roman" w:cs="Times New Roman"/>
          <w:color w:val="000000"/>
          <w:sz w:val="24"/>
          <w:szCs w:val="24"/>
        </w:rPr>
        <w:t>textual analysis</w:t>
      </w:r>
      <w:r w:rsidRPr="000B567A">
        <w:rPr>
          <w:rFonts w:ascii="Times New Roman" w:eastAsia="Times New Roman" w:hAnsi="Times New Roman" w:cs="Times New Roman"/>
          <w:color w:val="000000"/>
          <w:sz w:val="24"/>
          <w:szCs w:val="24"/>
        </w:rPr>
        <w:t xml:space="preserve"> to the study of</w:t>
      </w:r>
      <w:r w:rsidR="000B567A" w:rsidRPr="000B567A">
        <w:rPr>
          <w:rFonts w:ascii="Times New Roman" w:eastAsia="Times New Roman" w:hAnsi="Times New Roman" w:cs="Times New Roman"/>
          <w:color w:val="000000"/>
          <w:sz w:val="24"/>
          <w:szCs w:val="24"/>
        </w:rPr>
        <w:t xml:space="preserve"> managerial disclosure and related information environment</w:t>
      </w:r>
      <w:r w:rsidRPr="000B567A">
        <w:rPr>
          <w:rFonts w:ascii="Times New Roman" w:eastAsia="Times New Roman" w:hAnsi="Times New Roman" w:cs="Times New Roman"/>
          <w:color w:val="000000"/>
          <w:sz w:val="24"/>
          <w:szCs w:val="24"/>
        </w:rPr>
        <w:t xml:space="preserve"> charts a promising avenue for future research.</w:t>
      </w:r>
    </w:p>
    <w:p w14:paraId="05436952" w14:textId="77777777" w:rsidR="00C24CCA" w:rsidRPr="00BE4149" w:rsidRDefault="00C24CCA" w:rsidP="00C24CCA">
      <w:pPr>
        <w:rPr>
          <w:rFonts w:ascii="Times New Roman" w:hAnsi="Times New Roman" w:cs="Times New Roman"/>
          <w:sz w:val="24"/>
          <w:szCs w:val="24"/>
        </w:rPr>
      </w:pPr>
    </w:p>
    <w:p w14:paraId="73A68D23" w14:textId="77777777" w:rsidR="005A2ACF" w:rsidRDefault="005A2ACF">
      <w:pPr>
        <w:spacing w:after="160" w:line="259" w:lineRule="auto"/>
        <w:rPr>
          <w:rFonts w:ascii="Times New Roman" w:hAnsi="Times New Roman" w:cs="Times New Roman"/>
          <w:b/>
          <w:sz w:val="24"/>
          <w:szCs w:val="24"/>
        </w:rPr>
      </w:pPr>
    </w:p>
    <w:p w14:paraId="7B1C005E" w14:textId="6BA72883" w:rsidR="001D2E60" w:rsidRPr="001D2E60" w:rsidRDefault="000B567A" w:rsidP="001D2E6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7C51ADA" w14:textId="2FBBBE60" w:rsidR="005A2ACF" w:rsidRDefault="005A2ACF" w:rsidP="00C73908">
      <w:pPr>
        <w:rPr>
          <w:rFonts w:ascii="Times New Roman" w:hAnsi="Times New Roman" w:cs="Times New Roman"/>
          <w:b/>
          <w:sz w:val="24"/>
          <w:szCs w:val="24"/>
        </w:rPr>
      </w:pPr>
      <w:r w:rsidRPr="005A2ACF">
        <w:rPr>
          <w:rFonts w:ascii="Times New Roman" w:hAnsi="Times New Roman" w:cs="Times New Roman"/>
          <w:b/>
          <w:sz w:val="24"/>
          <w:szCs w:val="24"/>
        </w:rPr>
        <w:lastRenderedPageBreak/>
        <w:t xml:space="preserve">References </w:t>
      </w:r>
    </w:p>
    <w:p w14:paraId="34D22286" w14:textId="49FA7CF0" w:rsidR="005A2ACF" w:rsidRPr="00911F48" w:rsidRDefault="005A2ACF" w:rsidP="00C73908">
      <w:pPr>
        <w:rPr>
          <w:rFonts w:ascii="Times New Roman" w:hAnsi="Times New Roman" w:cs="Times New Roman"/>
          <w:b/>
          <w:sz w:val="24"/>
          <w:szCs w:val="24"/>
        </w:rPr>
      </w:pPr>
    </w:p>
    <w:p w14:paraId="289C80B7" w14:textId="1DC94BC3"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r w:rsidRPr="00911F48">
        <w:rPr>
          <w:rFonts w:ascii="Times New Roman" w:hAnsi="Times New Roman" w:cs="Times New Roman"/>
          <w:color w:val="000000"/>
          <w:sz w:val="24"/>
          <w:szCs w:val="24"/>
        </w:rPr>
        <w:t xml:space="preserve">Ahmed, A. S., and S. </w:t>
      </w:r>
      <w:proofErr w:type="spellStart"/>
      <w:r w:rsidRPr="00911F48">
        <w:rPr>
          <w:rFonts w:ascii="Times New Roman" w:hAnsi="Times New Roman" w:cs="Times New Roman"/>
          <w:color w:val="000000"/>
          <w:sz w:val="24"/>
          <w:szCs w:val="24"/>
        </w:rPr>
        <w:t>Duellman</w:t>
      </w:r>
      <w:proofErr w:type="spellEnd"/>
      <w:r w:rsidRPr="00911F48">
        <w:rPr>
          <w:rFonts w:ascii="Times New Roman" w:hAnsi="Times New Roman" w:cs="Times New Roman"/>
          <w:color w:val="000000"/>
          <w:sz w:val="24"/>
          <w:szCs w:val="24"/>
        </w:rPr>
        <w:t xml:space="preserve">. 2013. Managerial overconfidence and accounting conservatism. </w:t>
      </w:r>
      <w:r w:rsidRPr="00911F48">
        <w:rPr>
          <w:rFonts w:ascii="Times New Roman" w:hAnsi="Times New Roman" w:cs="Times New Roman"/>
          <w:i/>
          <w:color w:val="000000"/>
          <w:sz w:val="24"/>
          <w:szCs w:val="24"/>
        </w:rPr>
        <w:t>Journal of Accounting Research</w:t>
      </w:r>
      <w:r w:rsidRPr="00911F48">
        <w:rPr>
          <w:rFonts w:ascii="Times New Roman" w:hAnsi="Times New Roman" w:cs="Times New Roman"/>
          <w:color w:val="000000"/>
          <w:sz w:val="24"/>
          <w:szCs w:val="24"/>
        </w:rPr>
        <w:t xml:space="preserve"> 51 (1): 1–30.  </w:t>
      </w:r>
    </w:p>
    <w:p w14:paraId="6F67379F" w14:textId="77777777" w:rsidR="0039390E" w:rsidRPr="00911F48" w:rsidRDefault="0039390E" w:rsidP="005A2ACF">
      <w:pPr>
        <w:autoSpaceDE w:val="0"/>
        <w:autoSpaceDN w:val="0"/>
        <w:adjustRightInd w:val="0"/>
        <w:ind w:left="540" w:hanging="540"/>
        <w:jc w:val="both"/>
        <w:rPr>
          <w:rFonts w:ascii="Times New Roman" w:hAnsi="Times New Roman" w:cs="Times New Roman"/>
          <w:color w:val="000000"/>
          <w:sz w:val="24"/>
          <w:szCs w:val="24"/>
        </w:rPr>
      </w:pPr>
    </w:p>
    <w:p w14:paraId="3A1CE633" w14:textId="3604C0DA"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proofErr w:type="spellStart"/>
      <w:r w:rsidRPr="00911F48">
        <w:rPr>
          <w:rFonts w:ascii="Times New Roman" w:hAnsi="Times New Roman" w:cs="Times New Roman"/>
          <w:color w:val="000000"/>
          <w:sz w:val="24"/>
          <w:szCs w:val="24"/>
        </w:rPr>
        <w:t>Asay</w:t>
      </w:r>
      <w:proofErr w:type="spellEnd"/>
      <w:r w:rsidRPr="00911F48">
        <w:rPr>
          <w:rFonts w:ascii="Times New Roman" w:hAnsi="Times New Roman" w:cs="Times New Roman"/>
          <w:color w:val="000000"/>
          <w:sz w:val="24"/>
          <w:szCs w:val="24"/>
        </w:rPr>
        <w:t xml:space="preserve">, H. S., and J. Hales. 2018. Disclaiming the future: Investigating the impact of cautionary disclaimers on investor judgments before and after experiencing economic loss. </w:t>
      </w:r>
      <w:r w:rsidRPr="00911F48">
        <w:rPr>
          <w:rFonts w:ascii="Times New Roman" w:hAnsi="Times New Roman" w:cs="Times New Roman"/>
          <w:i/>
          <w:color w:val="000000"/>
          <w:sz w:val="24"/>
          <w:szCs w:val="24"/>
        </w:rPr>
        <w:t>The Accounting Review</w:t>
      </w:r>
      <w:r w:rsidRPr="00911F48">
        <w:rPr>
          <w:rFonts w:ascii="Times New Roman" w:hAnsi="Times New Roman" w:cs="Times New Roman"/>
          <w:color w:val="000000"/>
          <w:sz w:val="24"/>
          <w:szCs w:val="24"/>
        </w:rPr>
        <w:t xml:space="preserve"> 93 (4): 81–99. </w:t>
      </w:r>
    </w:p>
    <w:p w14:paraId="4D429109" w14:textId="545DF55D" w:rsidR="001D2E60" w:rsidRPr="001D2E60" w:rsidRDefault="001D2E60" w:rsidP="001D2E60">
      <w:pPr>
        <w:spacing w:after="160" w:line="259" w:lineRule="auto"/>
        <w:ind w:left="540" w:hanging="540"/>
        <w:rPr>
          <w:rFonts w:ascii="Times New Roman" w:hAnsi="Times New Roman" w:cs="Times New Roman"/>
          <w:sz w:val="24"/>
          <w:szCs w:val="24"/>
        </w:rPr>
      </w:pPr>
      <w:r>
        <w:rPr>
          <w:rFonts w:ascii="Times New Roman" w:hAnsi="Times New Roman" w:cs="Times New Roman"/>
          <w:sz w:val="24"/>
          <w:szCs w:val="24"/>
        </w:rPr>
        <w:t>Ball, R., and R. Watts.</w:t>
      </w:r>
      <w:r w:rsidRPr="001D2E60">
        <w:rPr>
          <w:rFonts w:ascii="Times New Roman" w:hAnsi="Times New Roman" w:cs="Times New Roman"/>
          <w:sz w:val="24"/>
          <w:szCs w:val="24"/>
        </w:rPr>
        <w:t xml:space="preserve">1972. </w:t>
      </w:r>
      <w:proofErr w:type="spellStart"/>
      <w:r w:rsidRPr="001D2E60">
        <w:rPr>
          <w:rFonts w:ascii="Times New Roman" w:hAnsi="Times New Roman" w:cs="Times New Roman"/>
          <w:sz w:val="24"/>
          <w:szCs w:val="24"/>
        </w:rPr>
        <w:t>Some time</w:t>
      </w:r>
      <w:proofErr w:type="spellEnd"/>
      <w:r w:rsidRPr="001D2E60">
        <w:rPr>
          <w:rFonts w:ascii="Times New Roman" w:hAnsi="Times New Roman" w:cs="Times New Roman"/>
          <w:sz w:val="24"/>
          <w:szCs w:val="24"/>
        </w:rPr>
        <w:t xml:space="preserve">-series properties of accounting income. </w:t>
      </w:r>
      <w:r w:rsidRPr="001D2E60">
        <w:rPr>
          <w:rFonts w:ascii="Times New Roman" w:hAnsi="Times New Roman" w:cs="Times New Roman"/>
          <w:i/>
          <w:sz w:val="24"/>
          <w:szCs w:val="24"/>
        </w:rPr>
        <w:t>Journal of Finance</w:t>
      </w:r>
      <w:r w:rsidRPr="001D2E60">
        <w:rPr>
          <w:rFonts w:ascii="Times New Roman" w:hAnsi="Times New Roman" w:cs="Times New Roman"/>
          <w:sz w:val="24"/>
          <w:szCs w:val="24"/>
        </w:rPr>
        <w:t xml:space="preserve"> 27 (3): 663–681. </w:t>
      </w:r>
      <w:r>
        <w:rPr>
          <w:rFonts w:ascii="Times New Roman" w:hAnsi="Times New Roman" w:cs="Times New Roman"/>
          <w:sz w:val="24"/>
          <w:szCs w:val="24"/>
        </w:rPr>
        <w:t xml:space="preserve"> </w:t>
      </w:r>
    </w:p>
    <w:p w14:paraId="36C6141F" w14:textId="6C216C7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2009. Market and Political/Regulatory Perspectives on the Recent Accounting Scandals.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47 (2): 277</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323.</w:t>
      </w:r>
    </w:p>
    <w:p w14:paraId="0CBE6E26" w14:textId="77777777" w:rsidR="00245E11" w:rsidRPr="00911F48" w:rsidRDefault="00245E11" w:rsidP="00A67702">
      <w:pPr>
        <w:ind w:left="540" w:hanging="540"/>
        <w:rPr>
          <w:rFonts w:ascii="Times New Roman" w:hAnsi="Times New Roman" w:cs="Times New Roman"/>
          <w:sz w:val="24"/>
          <w:szCs w:val="24"/>
        </w:rPr>
      </w:pPr>
    </w:p>
    <w:p w14:paraId="1724E93E" w14:textId="351D9D05" w:rsidR="005A2ACF" w:rsidRDefault="005A2ACF"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Ball, R., S. Jayaraman, and L. </w:t>
      </w:r>
      <w:proofErr w:type="spellStart"/>
      <w:r w:rsidRPr="00911F48">
        <w:rPr>
          <w:rFonts w:ascii="Times New Roman" w:hAnsi="Times New Roman" w:cs="Times New Roman"/>
          <w:sz w:val="24"/>
          <w:szCs w:val="24"/>
        </w:rPr>
        <w:t>Shivakumar</w:t>
      </w:r>
      <w:proofErr w:type="spellEnd"/>
      <w:r w:rsidRPr="00911F48">
        <w:rPr>
          <w:rFonts w:ascii="Times New Roman" w:hAnsi="Times New Roman" w:cs="Times New Roman"/>
          <w:sz w:val="24"/>
          <w:szCs w:val="24"/>
        </w:rPr>
        <w:t xml:space="preserve">. 2012. Audited financial reporting and voluntary disclosure as complements: A test of the Confirmation Hypothesis.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53 (1</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2):</w:t>
      </w:r>
      <w:r w:rsidR="00A67702" w:rsidRPr="00911F48">
        <w:rPr>
          <w:rFonts w:ascii="Times New Roman" w:hAnsi="Times New Roman" w:cs="Times New Roman"/>
          <w:sz w:val="24"/>
          <w:szCs w:val="24"/>
        </w:rPr>
        <w:t xml:space="preserve"> </w:t>
      </w:r>
      <w:r w:rsidRPr="00911F48">
        <w:rPr>
          <w:rFonts w:ascii="Times New Roman" w:hAnsi="Times New Roman" w:cs="Times New Roman"/>
          <w:sz w:val="24"/>
          <w:szCs w:val="24"/>
        </w:rPr>
        <w:t>136</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166.</w:t>
      </w:r>
    </w:p>
    <w:p w14:paraId="4C1D9C83" w14:textId="77777777" w:rsidR="00911F48" w:rsidRPr="00911F48" w:rsidRDefault="00911F48" w:rsidP="00A67702">
      <w:pPr>
        <w:ind w:left="540" w:hanging="540"/>
        <w:rPr>
          <w:rFonts w:ascii="Times New Roman" w:hAnsi="Times New Roman" w:cs="Times New Roman"/>
          <w:sz w:val="24"/>
          <w:szCs w:val="24"/>
        </w:rPr>
      </w:pPr>
    </w:p>
    <w:p w14:paraId="4DDECC6D" w14:textId="5F79C98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S. P. Kothari, and V. V. Nikolaev. 2013. On </w:t>
      </w:r>
      <w:r w:rsidR="00911F48">
        <w:rPr>
          <w:rFonts w:ascii="Times New Roman" w:hAnsi="Times New Roman" w:cs="Times New Roman"/>
          <w:sz w:val="24"/>
          <w:szCs w:val="24"/>
        </w:rPr>
        <w:t>e</w:t>
      </w:r>
      <w:r w:rsidRPr="00911F48">
        <w:rPr>
          <w:rFonts w:ascii="Times New Roman" w:hAnsi="Times New Roman" w:cs="Times New Roman"/>
          <w:sz w:val="24"/>
          <w:szCs w:val="24"/>
        </w:rPr>
        <w:t xml:space="preserve">stimating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88 (3): 755</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 xml:space="preserve">787. </w:t>
      </w:r>
    </w:p>
    <w:p w14:paraId="035E5F06" w14:textId="310B8C58" w:rsidR="0039390E" w:rsidRPr="00911F48" w:rsidRDefault="0039390E" w:rsidP="00A67702">
      <w:pPr>
        <w:ind w:left="540" w:hanging="540"/>
        <w:rPr>
          <w:rFonts w:ascii="Times New Roman" w:hAnsi="Times New Roman" w:cs="Times New Roman"/>
          <w:sz w:val="24"/>
          <w:szCs w:val="24"/>
        </w:rPr>
      </w:pPr>
    </w:p>
    <w:p w14:paraId="2A5DC9A2" w14:textId="24C27D2E"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Barber, B., and T. </w:t>
      </w: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xml:space="preserve">. 2000. Common stock investment performance of individual investors.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(55): 773–806.</w:t>
      </w:r>
    </w:p>
    <w:p w14:paraId="54490A67" w14:textId="77777777" w:rsidR="00911F48" w:rsidRPr="00911F48" w:rsidRDefault="00911F48" w:rsidP="00245E11">
      <w:pPr>
        <w:ind w:left="540" w:hanging="540"/>
        <w:rPr>
          <w:rFonts w:ascii="Times New Roman" w:hAnsi="Times New Roman" w:cs="Times New Roman"/>
          <w:sz w:val="24"/>
          <w:szCs w:val="24"/>
        </w:rPr>
      </w:pPr>
    </w:p>
    <w:p w14:paraId="6B0D0266" w14:textId="1B1E6E67"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Barber, B., and T. </w:t>
      </w: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2008.</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 xml:space="preserve">All that glitters: the effects of attention and news on the buying behavior of individual and institutional investors. </w:t>
      </w:r>
      <w:r w:rsidRPr="00911F48">
        <w:rPr>
          <w:rFonts w:ascii="Times New Roman" w:hAnsi="Times New Roman" w:cs="Times New Roman"/>
          <w:i/>
          <w:sz w:val="24"/>
          <w:szCs w:val="24"/>
        </w:rPr>
        <w:t>Review of Financial Studies</w:t>
      </w:r>
      <w:r w:rsidRPr="00911F48">
        <w:rPr>
          <w:rFonts w:ascii="Times New Roman" w:hAnsi="Times New Roman" w:cs="Times New Roman"/>
          <w:sz w:val="24"/>
          <w:szCs w:val="24"/>
        </w:rPr>
        <w:t xml:space="preserve"> (21): 785–818.</w:t>
      </w:r>
    </w:p>
    <w:p w14:paraId="258FBA3C" w14:textId="77777777" w:rsidR="00911F48" w:rsidRPr="00911F48" w:rsidRDefault="00911F48" w:rsidP="00245E11">
      <w:pPr>
        <w:ind w:left="540" w:hanging="540"/>
        <w:rPr>
          <w:rFonts w:ascii="Times New Roman" w:hAnsi="Times New Roman" w:cs="Times New Roman"/>
          <w:sz w:val="24"/>
          <w:szCs w:val="24"/>
        </w:rPr>
      </w:pPr>
    </w:p>
    <w:p w14:paraId="2313E2E3" w14:textId="2F74AA4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Barbe</w:t>
      </w:r>
      <w:r w:rsidR="00911F48">
        <w:rPr>
          <w:rFonts w:ascii="Times New Roman" w:hAnsi="Times New Roman" w:cs="Times New Roman"/>
          <w:sz w:val="24"/>
          <w:szCs w:val="24"/>
        </w:rPr>
        <w:t xml:space="preserve">r, B., Y. Lee, Y. Liu, and T. </w:t>
      </w:r>
      <w:proofErr w:type="spellStart"/>
      <w:r w:rsidR="00911F48">
        <w:rPr>
          <w:rFonts w:ascii="Times New Roman" w:hAnsi="Times New Roman" w:cs="Times New Roman"/>
          <w:sz w:val="24"/>
          <w:szCs w:val="24"/>
        </w:rPr>
        <w:t>Odean</w:t>
      </w:r>
      <w:proofErr w:type="spellEnd"/>
      <w:r w:rsidR="00911F48">
        <w:rPr>
          <w:rFonts w:ascii="Times New Roman" w:hAnsi="Times New Roman" w:cs="Times New Roman"/>
          <w:sz w:val="24"/>
          <w:szCs w:val="24"/>
        </w:rPr>
        <w:t xml:space="preserve">. </w:t>
      </w:r>
      <w:r w:rsidRPr="00911F48">
        <w:rPr>
          <w:rFonts w:ascii="Times New Roman" w:hAnsi="Times New Roman" w:cs="Times New Roman"/>
          <w:sz w:val="24"/>
          <w:szCs w:val="24"/>
        </w:rPr>
        <w:t>2009. Just how much do indiv</w:t>
      </w:r>
      <w:r w:rsidR="00911F48">
        <w:rPr>
          <w:rFonts w:ascii="Times New Roman" w:hAnsi="Times New Roman" w:cs="Times New Roman"/>
          <w:sz w:val="24"/>
          <w:szCs w:val="24"/>
        </w:rPr>
        <w:t xml:space="preserve">idual investors lose by trading? </w:t>
      </w:r>
      <w:r w:rsidR="00911F48" w:rsidRPr="00911F48">
        <w:rPr>
          <w:rFonts w:ascii="Times New Roman" w:hAnsi="Times New Roman" w:cs="Times New Roman"/>
          <w:i/>
          <w:sz w:val="24"/>
          <w:szCs w:val="24"/>
        </w:rPr>
        <w:t>Review of Financial Studies</w:t>
      </w:r>
      <w:r w:rsidR="00911F48">
        <w:rPr>
          <w:rFonts w:ascii="Times New Roman" w:hAnsi="Times New Roman" w:cs="Times New Roman"/>
          <w:sz w:val="24"/>
          <w:szCs w:val="24"/>
        </w:rPr>
        <w:t xml:space="preserve"> 22: </w:t>
      </w:r>
      <w:r w:rsidRPr="00911F48">
        <w:rPr>
          <w:rFonts w:ascii="Times New Roman" w:hAnsi="Times New Roman" w:cs="Times New Roman"/>
          <w:sz w:val="24"/>
          <w:szCs w:val="24"/>
        </w:rPr>
        <w:t>609–632.</w:t>
      </w:r>
    </w:p>
    <w:p w14:paraId="144C0E46" w14:textId="77777777" w:rsidR="00911F48" w:rsidRPr="00911F48" w:rsidRDefault="00911F48" w:rsidP="00245E11">
      <w:pPr>
        <w:ind w:left="540" w:hanging="540"/>
        <w:rPr>
          <w:rFonts w:ascii="Times New Roman" w:hAnsi="Times New Roman" w:cs="Times New Roman"/>
          <w:sz w:val="24"/>
          <w:szCs w:val="24"/>
        </w:rPr>
      </w:pPr>
    </w:p>
    <w:p w14:paraId="53544F02" w14:textId="77EBBB65"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Basu</w:t>
      </w:r>
      <w:proofErr w:type="spellEnd"/>
      <w:r w:rsidRPr="00911F48">
        <w:rPr>
          <w:rFonts w:ascii="Times New Roman" w:hAnsi="Times New Roman" w:cs="Times New Roman"/>
          <w:sz w:val="24"/>
          <w:szCs w:val="24"/>
        </w:rPr>
        <w:t>, S. 1997. The conservatism principle and the asymmetric timeliness of earnings</w:t>
      </w:r>
      <w:r w:rsidR="00911F48">
        <w:rPr>
          <w:rFonts w:ascii="Times New Roman" w:hAnsi="Times New Roman" w:cs="Times New Roman"/>
          <w:sz w:val="24"/>
          <w:szCs w:val="24"/>
        </w:rPr>
        <w:t>.</w:t>
      </w:r>
      <w:r w:rsidRPr="00911F48">
        <w:rPr>
          <w:rFonts w:ascii="Times New Roman" w:hAnsi="Times New Roman" w:cs="Times New Roman"/>
          <w:sz w:val="24"/>
          <w:szCs w:val="24"/>
        </w:rPr>
        <w:t xml:space="preserve"> </w:t>
      </w:r>
      <w:r w:rsidRPr="00911F48">
        <w:rPr>
          <w:rFonts w:ascii="Times New Roman" w:hAnsi="Times New Roman" w:cs="Times New Roman"/>
          <w:i/>
          <w:sz w:val="24"/>
          <w:szCs w:val="24"/>
        </w:rPr>
        <w:t>Journal of Accounting and Economics</w:t>
      </w:r>
      <w:r w:rsidR="00911F48">
        <w:rPr>
          <w:rFonts w:ascii="Times New Roman" w:hAnsi="Times New Roman" w:cs="Times New Roman"/>
          <w:sz w:val="24"/>
          <w:szCs w:val="24"/>
        </w:rPr>
        <w:t xml:space="preserve"> 3: 3-37. </w:t>
      </w:r>
    </w:p>
    <w:p w14:paraId="1AB4D597" w14:textId="66C69AC6" w:rsidR="00245E11" w:rsidRPr="00911F48" w:rsidRDefault="00245E11" w:rsidP="00245E11">
      <w:pPr>
        <w:ind w:left="540" w:hanging="540"/>
        <w:rPr>
          <w:rFonts w:ascii="Times New Roman" w:hAnsi="Times New Roman" w:cs="Times New Roman"/>
          <w:sz w:val="24"/>
          <w:szCs w:val="24"/>
        </w:rPr>
      </w:pPr>
    </w:p>
    <w:p w14:paraId="6C2C9B82" w14:textId="7B48806C"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Basu</w:t>
      </w:r>
      <w:proofErr w:type="spellEnd"/>
      <w:r w:rsidRPr="00911F48">
        <w:rPr>
          <w:rFonts w:ascii="Times New Roman" w:hAnsi="Times New Roman" w:cs="Times New Roman"/>
          <w:sz w:val="24"/>
          <w:szCs w:val="24"/>
        </w:rPr>
        <w:t>, S., and Y. Liang. 2019. Director-</w:t>
      </w:r>
      <w:r w:rsidR="00911F48">
        <w:rPr>
          <w:rFonts w:ascii="Times New Roman" w:hAnsi="Times New Roman" w:cs="Times New Roman"/>
          <w:sz w:val="24"/>
          <w:szCs w:val="24"/>
        </w:rPr>
        <w:t>l</w:t>
      </w:r>
      <w:r w:rsidRPr="00911F48">
        <w:rPr>
          <w:rFonts w:ascii="Times New Roman" w:hAnsi="Times New Roman" w:cs="Times New Roman"/>
          <w:sz w:val="24"/>
          <w:szCs w:val="24"/>
        </w:rPr>
        <w:t>iability-</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eduction </w:t>
      </w:r>
      <w:r w:rsidR="00911F48">
        <w:rPr>
          <w:rFonts w:ascii="Times New Roman" w:hAnsi="Times New Roman" w:cs="Times New Roman"/>
          <w:sz w:val="24"/>
          <w:szCs w:val="24"/>
        </w:rPr>
        <w:t>l</w:t>
      </w:r>
      <w:r w:rsidRPr="00911F48">
        <w:rPr>
          <w:rFonts w:ascii="Times New Roman" w:hAnsi="Times New Roman" w:cs="Times New Roman"/>
          <w:sz w:val="24"/>
          <w:szCs w:val="24"/>
        </w:rPr>
        <w:t xml:space="preserve">aws and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onservatism.</w:t>
      </w:r>
      <w:r w:rsidR="00911F48">
        <w:rPr>
          <w:rFonts w:ascii="Times New Roman" w:hAnsi="Times New Roman" w:cs="Times New Roman"/>
          <w:sz w:val="24"/>
          <w:szCs w:val="24"/>
        </w:rPr>
        <w:t xml:space="preserve"> </w:t>
      </w:r>
      <w:r w:rsidR="00911F48" w:rsidRPr="00911F48">
        <w:rPr>
          <w:rFonts w:ascii="Times New Roman" w:hAnsi="Times New Roman" w:cs="Times New Roman"/>
          <w:i/>
          <w:sz w:val="24"/>
          <w:szCs w:val="24"/>
        </w:rPr>
        <w:t>Journal of Accounting Research</w:t>
      </w:r>
      <w:r w:rsidR="00911F48">
        <w:rPr>
          <w:rFonts w:ascii="Times New Roman" w:hAnsi="Times New Roman" w:cs="Times New Roman"/>
          <w:sz w:val="24"/>
          <w:szCs w:val="24"/>
        </w:rPr>
        <w:t xml:space="preserve"> 57 (4): 889-917. </w:t>
      </w:r>
    </w:p>
    <w:p w14:paraId="5D0896D1" w14:textId="77777777" w:rsidR="00911F48" w:rsidRPr="00911F48" w:rsidRDefault="00911F48" w:rsidP="00245E11">
      <w:pPr>
        <w:ind w:left="540" w:hanging="540"/>
        <w:rPr>
          <w:rFonts w:ascii="Times New Roman" w:hAnsi="Times New Roman" w:cs="Times New Roman"/>
          <w:sz w:val="24"/>
          <w:szCs w:val="24"/>
        </w:rPr>
      </w:pPr>
    </w:p>
    <w:p w14:paraId="001CBA55" w14:textId="32B8114E"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Billings, M. B., R. Jennings, and B. Lev. 2015. On guidance and volatility. </w:t>
      </w:r>
      <w:r w:rsidRPr="00911F48">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60 (2–3):161-180.</w:t>
      </w:r>
    </w:p>
    <w:p w14:paraId="4E236C4C" w14:textId="77777777" w:rsidR="00245E11" w:rsidRPr="00911F48" w:rsidRDefault="00245E11" w:rsidP="00245E11">
      <w:pPr>
        <w:ind w:left="540" w:hanging="540"/>
        <w:rPr>
          <w:rFonts w:ascii="Times New Roman" w:hAnsi="Times New Roman" w:cs="Times New Roman"/>
          <w:sz w:val="24"/>
          <w:szCs w:val="24"/>
        </w:rPr>
      </w:pPr>
    </w:p>
    <w:p w14:paraId="75369CD5" w14:textId="7A9D65FC" w:rsidR="00A67702" w:rsidRPr="00911F48" w:rsidRDefault="00A67702" w:rsidP="00A67702">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Bozanic</w:t>
      </w:r>
      <w:proofErr w:type="spellEnd"/>
      <w:r w:rsidRPr="00911F48">
        <w:rPr>
          <w:rFonts w:ascii="Times New Roman" w:hAnsi="Times New Roman" w:cs="Times New Roman"/>
          <w:sz w:val="24"/>
          <w:szCs w:val="24"/>
        </w:rPr>
        <w:t xml:space="preserve">, Z., D. T. </w:t>
      </w:r>
      <w:proofErr w:type="spellStart"/>
      <w:r w:rsidRPr="00911F48">
        <w:rPr>
          <w:rFonts w:ascii="Times New Roman" w:hAnsi="Times New Roman" w:cs="Times New Roman"/>
          <w:sz w:val="24"/>
          <w:szCs w:val="24"/>
        </w:rPr>
        <w:t>Roulstone</w:t>
      </w:r>
      <w:proofErr w:type="spellEnd"/>
      <w:r w:rsidRPr="00911F48">
        <w:rPr>
          <w:rFonts w:ascii="Times New Roman" w:hAnsi="Times New Roman" w:cs="Times New Roman"/>
          <w:sz w:val="24"/>
          <w:szCs w:val="24"/>
        </w:rPr>
        <w:t xml:space="preserve">, and A. Van Buskirk. 2018. Management earnings forecasts and other forward-looking statements.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65 (1):1-20.</w:t>
      </w:r>
    </w:p>
    <w:p w14:paraId="41C4DD94" w14:textId="77777777" w:rsidR="0039390E" w:rsidRPr="00911F48" w:rsidRDefault="0039390E" w:rsidP="00A67702">
      <w:pPr>
        <w:ind w:left="540" w:hanging="540"/>
        <w:rPr>
          <w:rFonts w:ascii="Times New Roman" w:hAnsi="Times New Roman" w:cs="Times New Roman"/>
          <w:sz w:val="24"/>
          <w:szCs w:val="24"/>
        </w:rPr>
      </w:pPr>
    </w:p>
    <w:p w14:paraId="59FF7ACF" w14:textId="35DD9933" w:rsidR="00A67702"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Brown, L. D., A. C. Call, M. B. Clement, and N. Y. Sharp. 2015. Inside the “Black Box” of Sell-Side Financial Analysts.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53 (1):1-47.</w:t>
      </w:r>
    </w:p>
    <w:p w14:paraId="114B032F" w14:textId="77777777" w:rsidR="00911F48" w:rsidRPr="00911F48" w:rsidRDefault="00911F48" w:rsidP="00A67702">
      <w:pPr>
        <w:ind w:left="540" w:hanging="540"/>
        <w:rPr>
          <w:rFonts w:ascii="Times New Roman" w:hAnsi="Times New Roman" w:cs="Times New Roman"/>
          <w:sz w:val="24"/>
          <w:szCs w:val="24"/>
        </w:rPr>
      </w:pPr>
    </w:p>
    <w:p w14:paraId="4B7DF11E" w14:textId="511F4592"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lastRenderedPageBreak/>
        <w:t>Bushee</w:t>
      </w:r>
      <w:proofErr w:type="spellEnd"/>
      <w:r w:rsidRPr="00911F48">
        <w:rPr>
          <w:rFonts w:ascii="Times New Roman" w:hAnsi="Times New Roman" w:cs="Times New Roman"/>
          <w:sz w:val="24"/>
          <w:szCs w:val="24"/>
        </w:rPr>
        <w:t xml:space="preserve">, B. J., D. A. Matsumoto, and G. S. Miller. 2004. Managerial and </w:t>
      </w:r>
      <w:r w:rsidR="00911F48">
        <w:rPr>
          <w:rFonts w:ascii="Times New Roman" w:hAnsi="Times New Roman" w:cs="Times New Roman"/>
          <w:sz w:val="24"/>
          <w:szCs w:val="24"/>
        </w:rPr>
        <w:t>i</w:t>
      </w:r>
      <w:r w:rsidRPr="00911F48">
        <w:rPr>
          <w:rFonts w:ascii="Times New Roman" w:hAnsi="Times New Roman" w:cs="Times New Roman"/>
          <w:sz w:val="24"/>
          <w:szCs w:val="24"/>
        </w:rPr>
        <w:t xml:space="preserve">nvestor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esponses to </w:t>
      </w:r>
      <w:r w:rsidR="00911F48">
        <w:rPr>
          <w:rFonts w:ascii="Times New Roman" w:hAnsi="Times New Roman" w:cs="Times New Roman"/>
          <w:sz w:val="24"/>
          <w:szCs w:val="24"/>
        </w:rPr>
        <w:t>d</w:t>
      </w:r>
      <w:r w:rsidRPr="00911F48">
        <w:rPr>
          <w:rFonts w:ascii="Times New Roman" w:hAnsi="Times New Roman" w:cs="Times New Roman"/>
          <w:sz w:val="24"/>
          <w:szCs w:val="24"/>
        </w:rPr>
        <w:t xml:space="preserve">isclosure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egulation: The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ase of Reg FD and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alls. </w:t>
      </w:r>
      <w:r w:rsidRPr="00911F48">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79 (3):</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617-643.</w:t>
      </w:r>
    </w:p>
    <w:p w14:paraId="63813E5A" w14:textId="77777777" w:rsidR="00245E11" w:rsidRPr="00911F48" w:rsidRDefault="00245E11" w:rsidP="00245E11">
      <w:pPr>
        <w:rPr>
          <w:rFonts w:ascii="Times New Roman" w:hAnsi="Times New Roman" w:cs="Times New Roman"/>
          <w:sz w:val="24"/>
          <w:szCs w:val="24"/>
        </w:rPr>
      </w:pPr>
    </w:p>
    <w:p w14:paraId="58ADEB75" w14:textId="1D94A9BA" w:rsidR="00245E11" w:rsidRPr="00911F48" w:rsidRDefault="00245E11" w:rsidP="00C03A70">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Bushee</w:t>
      </w:r>
      <w:proofErr w:type="spellEnd"/>
      <w:r w:rsidRPr="00911F48">
        <w:rPr>
          <w:rFonts w:ascii="Times New Roman" w:hAnsi="Times New Roman" w:cs="Times New Roman"/>
          <w:sz w:val="24"/>
          <w:szCs w:val="24"/>
        </w:rPr>
        <w:t xml:space="preserve">, B. J., I. D. </w:t>
      </w:r>
      <w:proofErr w:type="spellStart"/>
      <w:r w:rsidRPr="00911F48">
        <w:rPr>
          <w:rFonts w:ascii="Times New Roman" w:hAnsi="Times New Roman" w:cs="Times New Roman"/>
          <w:sz w:val="24"/>
          <w:szCs w:val="24"/>
        </w:rPr>
        <w:t>Gow</w:t>
      </w:r>
      <w:proofErr w:type="spellEnd"/>
      <w:r w:rsidRPr="00911F48">
        <w:rPr>
          <w:rFonts w:ascii="Times New Roman" w:hAnsi="Times New Roman" w:cs="Times New Roman"/>
          <w:sz w:val="24"/>
          <w:szCs w:val="24"/>
        </w:rPr>
        <w:t xml:space="preserve">, and D. J. Taylor. 2018. Linguistic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omplexity in </w:t>
      </w:r>
      <w:r w:rsidR="00C03A70">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isclosures </w:t>
      </w:r>
      <w:r w:rsidR="00C03A70">
        <w:rPr>
          <w:rFonts w:ascii="Times New Roman" w:hAnsi="Times New Roman" w:cs="Times New Roman"/>
          <w:sz w:val="24"/>
          <w:szCs w:val="24"/>
        </w:rPr>
        <w:t>o</w:t>
      </w:r>
      <w:r w:rsidRPr="00911F48">
        <w:rPr>
          <w:rFonts w:ascii="Times New Roman" w:hAnsi="Times New Roman" w:cs="Times New Roman"/>
          <w:sz w:val="24"/>
          <w:szCs w:val="24"/>
        </w:rPr>
        <w:t xml:space="preserve">bfuscation or Information? </w:t>
      </w:r>
      <w:r w:rsidRPr="00C03A70">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56 (1):85-121.</w:t>
      </w:r>
    </w:p>
    <w:p w14:paraId="120CA9DB" w14:textId="77777777" w:rsidR="00245E11" w:rsidRPr="00911F48" w:rsidRDefault="00245E11" w:rsidP="00A67702">
      <w:pPr>
        <w:ind w:left="540" w:hanging="540"/>
        <w:rPr>
          <w:rFonts w:ascii="Times New Roman" w:hAnsi="Times New Roman" w:cs="Times New Roman"/>
          <w:sz w:val="24"/>
          <w:szCs w:val="24"/>
        </w:rPr>
      </w:pPr>
    </w:p>
    <w:p w14:paraId="7C89109A" w14:textId="20044E51" w:rsidR="00A67702" w:rsidRPr="00911F48" w:rsidRDefault="00A67702" w:rsidP="00A67702">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Bushee</w:t>
      </w:r>
      <w:proofErr w:type="spellEnd"/>
      <w:r w:rsidRPr="00911F48">
        <w:rPr>
          <w:rFonts w:ascii="Times New Roman" w:hAnsi="Times New Roman" w:cs="Times New Roman"/>
          <w:sz w:val="24"/>
          <w:szCs w:val="24"/>
        </w:rPr>
        <w:t>, B., and Y. J. Huang. 20</w:t>
      </w:r>
      <w:r w:rsidR="00245E11" w:rsidRPr="00911F48">
        <w:rPr>
          <w:rFonts w:ascii="Times New Roman" w:hAnsi="Times New Roman" w:cs="Times New Roman"/>
          <w:sz w:val="24"/>
          <w:szCs w:val="24"/>
        </w:rPr>
        <w:t>19</w:t>
      </w:r>
      <w:r w:rsidRPr="00911F48">
        <w:rPr>
          <w:rFonts w:ascii="Times New Roman" w:hAnsi="Times New Roman" w:cs="Times New Roman"/>
          <w:sz w:val="24"/>
          <w:szCs w:val="24"/>
        </w:rPr>
        <w:t>. Do analysts and investors efficiently respond to managerial linguistic complexity on conference calls? Working paper. University of Pennsylvania</w:t>
      </w:r>
      <w:r w:rsidR="00C03A70">
        <w:rPr>
          <w:rFonts w:ascii="Times New Roman" w:hAnsi="Times New Roman" w:cs="Times New Roman"/>
          <w:sz w:val="24"/>
          <w:szCs w:val="24"/>
        </w:rPr>
        <w:t xml:space="preserve"> and University of Louisville, a</w:t>
      </w:r>
      <w:r w:rsidRPr="00911F48">
        <w:rPr>
          <w:rFonts w:ascii="Times New Roman" w:hAnsi="Times New Roman" w:cs="Times New Roman"/>
          <w:sz w:val="24"/>
          <w:szCs w:val="24"/>
        </w:rPr>
        <w:t xml:space="preserve">vailable at </w:t>
      </w:r>
      <w:hyperlink r:id="rId10" w:history="1">
        <w:r w:rsidRPr="00911F48">
          <w:rPr>
            <w:rStyle w:val="Hyperlink"/>
            <w:rFonts w:ascii="Times New Roman" w:hAnsi="Times New Roman" w:cs="Times New Roman"/>
            <w:sz w:val="24"/>
            <w:szCs w:val="24"/>
          </w:rPr>
          <w:t>https://papers.ssrn.com/sol3/papers.cfm?abstract_id=3405086</w:t>
        </w:r>
      </w:hyperlink>
      <w:r w:rsidRPr="00911F48">
        <w:rPr>
          <w:rFonts w:ascii="Times New Roman" w:hAnsi="Times New Roman" w:cs="Times New Roman"/>
          <w:sz w:val="24"/>
          <w:szCs w:val="24"/>
        </w:rPr>
        <w:t xml:space="preserve"> </w:t>
      </w:r>
    </w:p>
    <w:p w14:paraId="58D414DD" w14:textId="77777777" w:rsidR="00245E11" w:rsidRPr="00911F48" w:rsidRDefault="00245E11" w:rsidP="00A67702">
      <w:pPr>
        <w:ind w:left="540" w:hanging="540"/>
        <w:rPr>
          <w:rFonts w:ascii="Times New Roman" w:hAnsi="Times New Roman" w:cs="Times New Roman"/>
          <w:sz w:val="24"/>
          <w:szCs w:val="24"/>
        </w:rPr>
      </w:pPr>
    </w:p>
    <w:p w14:paraId="4D9A91D6" w14:textId="4F38BFA7" w:rsidR="0039390E" w:rsidRPr="00911F48" w:rsidRDefault="00C03A70" w:rsidP="00A67702">
      <w:pPr>
        <w:ind w:left="540" w:hanging="540"/>
        <w:rPr>
          <w:rFonts w:ascii="Times New Roman" w:hAnsi="Times New Roman" w:cs="Times New Roman"/>
          <w:sz w:val="24"/>
          <w:szCs w:val="24"/>
        </w:rPr>
      </w:pPr>
      <w:r>
        <w:rPr>
          <w:rFonts w:ascii="Times New Roman" w:hAnsi="Times New Roman" w:cs="Times New Roman"/>
          <w:sz w:val="24"/>
          <w:szCs w:val="24"/>
        </w:rPr>
        <w:t>Callen, J. L., D. Segal, and O.</w:t>
      </w:r>
      <w:r w:rsidR="00245E11" w:rsidRPr="00911F48">
        <w:rPr>
          <w:rFonts w:ascii="Times New Roman" w:hAnsi="Times New Roman" w:cs="Times New Roman"/>
          <w:sz w:val="24"/>
          <w:szCs w:val="24"/>
        </w:rPr>
        <w:t xml:space="preserve"> Hope. 2010. The pricing of conservative accounting and the measurement of conservatism at the firm-year level. </w:t>
      </w:r>
      <w:r w:rsidR="00245E11" w:rsidRPr="00C03A70">
        <w:rPr>
          <w:rFonts w:ascii="Times New Roman" w:hAnsi="Times New Roman" w:cs="Times New Roman"/>
          <w:i/>
          <w:sz w:val="24"/>
          <w:szCs w:val="24"/>
        </w:rPr>
        <w:t>Review of Accounting Studies</w:t>
      </w:r>
      <w:r w:rsidR="00245E11" w:rsidRPr="00911F48">
        <w:rPr>
          <w:rFonts w:ascii="Times New Roman" w:hAnsi="Times New Roman" w:cs="Times New Roman"/>
          <w:sz w:val="24"/>
          <w:szCs w:val="24"/>
        </w:rPr>
        <w:t xml:space="preserve"> 15 (1):145-178.</w:t>
      </w:r>
    </w:p>
    <w:p w14:paraId="220CB76C" w14:textId="77777777" w:rsidR="00245E11" w:rsidRPr="00911F48" w:rsidRDefault="00245E11" w:rsidP="00A67702">
      <w:pPr>
        <w:ind w:left="540" w:hanging="540"/>
        <w:rPr>
          <w:rFonts w:ascii="Times New Roman" w:hAnsi="Times New Roman" w:cs="Times New Roman"/>
          <w:sz w:val="24"/>
          <w:szCs w:val="24"/>
        </w:rPr>
      </w:pPr>
    </w:p>
    <w:p w14:paraId="285DF267" w14:textId="04305787" w:rsidR="00A67702" w:rsidRPr="00911F48"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w:t>
      </w:r>
      <w:r w:rsidR="000D51E5" w:rsidRPr="00911F48">
        <w:rPr>
          <w:rFonts w:ascii="Times New Roman" w:hAnsi="Times New Roman" w:cs="Times New Roman"/>
          <w:sz w:val="24"/>
          <w:szCs w:val="24"/>
        </w:rPr>
        <w:t xml:space="preserve">and J. </w:t>
      </w:r>
      <w:proofErr w:type="spellStart"/>
      <w:r w:rsidR="000D51E5" w:rsidRPr="00911F48">
        <w:rPr>
          <w:rFonts w:ascii="Times New Roman" w:hAnsi="Times New Roman" w:cs="Times New Roman"/>
          <w:sz w:val="24"/>
          <w:szCs w:val="24"/>
        </w:rPr>
        <w:t>Lakonishok</w:t>
      </w:r>
      <w:proofErr w:type="spellEnd"/>
      <w:r w:rsidR="000D51E5" w:rsidRPr="00911F48">
        <w:rPr>
          <w:rFonts w:ascii="Times New Roman" w:hAnsi="Times New Roman" w:cs="Times New Roman"/>
          <w:sz w:val="24"/>
          <w:szCs w:val="24"/>
        </w:rPr>
        <w:t xml:space="preserve">, </w:t>
      </w:r>
      <w:r w:rsidRPr="00911F48">
        <w:rPr>
          <w:rFonts w:ascii="Times New Roman" w:hAnsi="Times New Roman" w:cs="Times New Roman"/>
          <w:sz w:val="24"/>
          <w:szCs w:val="24"/>
        </w:rPr>
        <w:t xml:space="preserve">1995. The behavior of stock prices around institutional trades.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50</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 xml:space="preserve"> 1147–1174.</w:t>
      </w:r>
    </w:p>
    <w:p w14:paraId="5CE81FBB" w14:textId="77777777" w:rsidR="0039390E" w:rsidRPr="00911F48" w:rsidRDefault="0039390E" w:rsidP="00F83152">
      <w:pPr>
        <w:ind w:left="540" w:hanging="540"/>
        <w:rPr>
          <w:rFonts w:ascii="Times New Roman" w:hAnsi="Times New Roman" w:cs="Times New Roman"/>
          <w:sz w:val="24"/>
          <w:szCs w:val="24"/>
        </w:rPr>
      </w:pPr>
    </w:p>
    <w:p w14:paraId="36119C3F" w14:textId="24902D7C" w:rsidR="00F83152" w:rsidRDefault="00F83152" w:rsidP="00F8315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K. C., J. </w:t>
      </w:r>
      <w:proofErr w:type="spellStart"/>
      <w:r w:rsidRPr="00911F48">
        <w:rPr>
          <w:rFonts w:ascii="Times New Roman" w:hAnsi="Times New Roman" w:cs="Times New Roman"/>
          <w:sz w:val="24"/>
          <w:szCs w:val="24"/>
        </w:rPr>
        <w:t>Lakonishok</w:t>
      </w:r>
      <w:proofErr w:type="spellEnd"/>
      <w:r w:rsidRPr="00911F48">
        <w:rPr>
          <w:rFonts w:ascii="Times New Roman" w:hAnsi="Times New Roman" w:cs="Times New Roman"/>
          <w:sz w:val="24"/>
          <w:szCs w:val="24"/>
        </w:rPr>
        <w:t xml:space="preserve">, and T. </w:t>
      </w:r>
      <w:proofErr w:type="spellStart"/>
      <w:r w:rsidRPr="00911F48">
        <w:rPr>
          <w:rFonts w:ascii="Times New Roman" w:hAnsi="Times New Roman" w:cs="Times New Roman"/>
          <w:sz w:val="24"/>
          <w:szCs w:val="24"/>
        </w:rPr>
        <w:t>Sougiannis</w:t>
      </w:r>
      <w:proofErr w:type="spellEnd"/>
      <w:r w:rsidRPr="00911F48">
        <w:rPr>
          <w:rFonts w:ascii="Times New Roman" w:hAnsi="Times New Roman" w:cs="Times New Roman"/>
          <w:sz w:val="24"/>
          <w:szCs w:val="24"/>
        </w:rPr>
        <w:t xml:space="preserve">. 2001. The </w:t>
      </w:r>
      <w:r w:rsidR="00C03A70">
        <w:rPr>
          <w:rFonts w:ascii="Times New Roman" w:hAnsi="Times New Roman" w:cs="Times New Roman"/>
          <w:sz w:val="24"/>
          <w:szCs w:val="24"/>
        </w:rPr>
        <w:t>s</w:t>
      </w:r>
      <w:r w:rsidRPr="00911F48">
        <w:rPr>
          <w:rFonts w:ascii="Times New Roman" w:hAnsi="Times New Roman" w:cs="Times New Roman"/>
          <w:sz w:val="24"/>
          <w:szCs w:val="24"/>
        </w:rPr>
        <w:t xml:space="preserve">tock </w:t>
      </w:r>
      <w:r w:rsidR="00C03A70">
        <w:rPr>
          <w:rFonts w:ascii="Times New Roman" w:hAnsi="Times New Roman" w:cs="Times New Roman"/>
          <w:sz w:val="24"/>
          <w:szCs w:val="24"/>
        </w:rPr>
        <w:t>m</w:t>
      </w:r>
      <w:r w:rsidRPr="00911F48">
        <w:rPr>
          <w:rFonts w:ascii="Times New Roman" w:hAnsi="Times New Roman" w:cs="Times New Roman"/>
          <w:sz w:val="24"/>
          <w:szCs w:val="24"/>
        </w:rPr>
        <w:t xml:space="preserve">arket </w:t>
      </w:r>
      <w:r w:rsidR="00C03A70">
        <w:rPr>
          <w:rFonts w:ascii="Times New Roman" w:hAnsi="Times New Roman" w:cs="Times New Roman"/>
          <w:sz w:val="24"/>
          <w:szCs w:val="24"/>
        </w:rPr>
        <w:t>v</w:t>
      </w:r>
      <w:r w:rsidRPr="00911F48">
        <w:rPr>
          <w:rFonts w:ascii="Times New Roman" w:hAnsi="Times New Roman" w:cs="Times New Roman"/>
          <w:sz w:val="24"/>
          <w:szCs w:val="24"/>
        </w:rPr>
        <w:t xml:space="preserve">aluation of </w:t>
      </w:r>
      <w:r w:rsidR="00C03A70">
        <w:rPr>
          <w:rFonts w:ascii="Times New Roman" w:hAnsi="Times New Roman" w:cs="Times New Roman"/>
          <w:sz w:val="24"/>
          <w:szCs w:val="24"/>
        </w:rPr>
        <w:t>r</w:t>
      </w:r>
      <w:r w:rsidRPr="00911F48">
        <w:rPr>
          <w:rFonts w:ascii="Times New Roman" w:hAnsi="Times New Roman" w:cs="Times New Roman"/>
          <w:sz w:val="24"/>
          <w:szCs w:val="24"/>
        </w:rPr>
        <w:t xml:space="preserve">esearch and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evelopment </w:t>
      </w:r>
      <w:r w:rsidR="00C03A70">
        <w:rPr>
          <w:rFonts w:ascii="Times New Roman" w:hAnsi="Times New Roman" w:cs="Times New Roman"/>
          <w:sz w:val="24"/>
          <w:szCs w:val="24"/>
        </w:rPr>
        <w:t>e</w:t>
      </w:r>
      <w:r w:rsidRPr="00911F48">
        <w:rPr>
          <w:rFonts w:ascii="Times New Roman" w:hAnsi="Times New Roman" w:cs="Times New Roman"/>
          <w:sz w:val="24"/>
          <w:szCs w:val="24"/>
        </w:rPr>
        <w:t xml:space="preserve">xpenditures. </w:t>
      </w:r>
      <w:r w:rsidRPr="00911F48">
        <w:rPr>
          <w:rFonts w:ascii="Times New Roman" w:hAnsi="Times New Roman" w:cs="Times New Roman"/>
          <w:i/>
          <w:iCs/>
          <w:sz w:val="24"/>
          <w:szCs w:val="24"/>
        </w:rPr>
        <w:t>The Journal of Finance</w:t>
      </w:r>
      <w:r w:rsidRPr="00911F48">
        <w:rPr>
          <w:rFonts w:ascii="Times New Roman" w:hAnsi="Times New Roman" w:cs="Times New Roman"/>
          <w:sz w:val="24"/>
          <w:szCs w:val="24"/>
        </w:rPr>
        <w:t xml:space="preserve"> 56 (6): 2431-2456. </w:t>
      </w:r>
    </w:p>
    <w:p w14:paraId="5E0EB8B4" w14:textId="77777777" w:rsidR="00C03A70" w:rsidRPr="00911F48" w:rsidRDefault="00C03A70" w:rsidP="00F83152">
      <w:pPr>
        <w:ind w:left="540" w:hanging="540"/>
        <w:rPr>
          <w:rFonts w:ascii="Times New Roman" w:hAnsi="Times New Roman" w:cs="Times New Roman"/>
          <w:sz w:val="24"/>
          <w:szCs w:val="24"/>
        </w:rPr>
      </w:pPr>
    </w:p>
    <w:p w14:paraId="10A52ECF" w14:textId="5C410F94" w:rsidR="0039390E"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Chung, H. H., and J. P. Wynn. 2008. Managerial legal liability coverage and earnings conservatism.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46 (1):135-153.</w:t>
      </w:r>
    </w:p>
    <w:p w14:paraId="46FF8445" w14:textId="77777777" w:rsidR="00C03A70" w:rsidRPr="00911F48" w:rsidRDefault="00C03A70" w:rsidP="009746E7">
      <w:pPr>
        <w:ind w:left="540" w:hanging="540"/>
        <w:rPr>
          <w:rFonts w:ascii="Times New Roman" w:hAnsi="Times New Roman" w:cs="Times New Roman"/>
          <w:sz w:val="24"/>
          <w:szCs w:val="24"/>
        </w:rPr>
      </w:pPr>
    </w:p>
    <w:p w14:paraId="2A2E8F7D" w14:textId="252B30E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Collins, D. W., and S. P. Kothari. 1989. An analysis of intertemporal and cross-sectional determinants of earnings response coefficients.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11 (2–3):143-181.</w:t>
      </w:r>
    </w:p>
    <w:p w14:paraId="04FF3A9A" w14:textId="77777777" w:rsidR="00C03A70" w:rsidRPr="00911F48" w:rsidRDefault="00C03A70" w:rsidP="00245E11">
      <w:pPr>
        <w:ind w:left="540" w:hanging="540"/>
        <w:rPr>
          <w:rFonts w:ascii="Times New Roman" w:hAnsi="Times New Roman" w:cs="Times New Roman"/>
          <w:sz w:val="24"/>
          <w:szCs w:val="24"/>
        </w:rPr>
      </w:pPr>
    </w:p>
    <w:p w14:paraId="2BF9B2D8" w14:textId="3C0DB880" w:rsidR="00C03A70" w:rsidRPr="00C03A70" w:rsidRDefault="00C03A70" w:rsidP="00C03A70">
      <w:pPr>
        <w:ind w:left="540" w:hanging="540"/>
        <w:rPr>
          <w:rFonts w:ascii="Times New Roman" w:hAnsi="Times New Roman" w:cs="Times New Roman"/>
          <w:sz w:val="24"/>
          <w:szCs w:val="24"/>
        </w:rPr>
      </w:pPr>
      <w:r w:rsidRPr="00C03A70">
        <w:rPr>
          <w:rFonts w:ascii="Times New Roman" w:hAnsi="Times New Roman" w:cs="Times New Roman"/>
          <w:sz w:val="24"/>
          <w:szCs w:val="24"/>
        </w:rPr>
        <w:t xml:space="preserve">Core, J., W. </w:t>
      </w:r>
      <w:proofErr w:type="spellStart"/>
      <w:r w:rsidRPr="00C03A70">
        <w:rPr>
          <w:rFonts w:ascii="Times New Roman" w:hAnsi="Times New Roman" w:cs="Times New Roman"/>
          <w:sz w:val="24"/>
          <w:szCs w:val="24"/>
        </w:rPr>
        <w:t>Guay</w:t>
      </w:r>
      <w:proofErr w:type="spellEnd"/>
      <w:r w:rsidRPr="00C03A70">
        <w:rPr>
          <w:rFonts w:ascii="Times New Roman" w:hAnsi="Times New Roman" w:cs="Times New Roman"/>
          <w:sz w:val="24"/>
          <w:szCs w:val="24"/>
        </w:rPr>
        <w:t xml:space="preserve">, and R. </w:t>
      </w:r>
      <w:proofErr w:type="spellStart"/>
      <w:r w:rsidRPr="00C03A70">
        <w:rPr>
          <w:rFonts w:ascii="Times New Roman" w:hAnsi="Times New Roman" w:cs="Times New Roman"/>
          <w:sz w:val="24"/>
          <w:szCs w:val="24"/>
        </w:rPr>
        <w:t>Verrecchia</w:t>
      </w:r>
      <w:proofErr w:type="spellEnd"/>
      <w:r w:rsidRPr="00C03A70">
        <w:rPr>
          <w:rFonts w:ascii="Times New Roman" w:hAnsi="Times New Roman" w:cs="Times New Roman"/>
          <w:sz w:val="24"/>
          <w:szCs w:val="24"/>
        </w:rPr>
        <w:t>. 2003. Pri</w:t>
      </w:r>
      <w:r>
        <w:rPr>
          <w:rFonts w:ascii="Times New Roman" w:hAnsi="Times New Roman" w:cs="Times New Roman"/>
          <w:sz w:val="24"/>
          <w:szCs w:val="24"/>
        </w:rPr>
        <w:t>ce versus non-price performance m</w:t>
      </w:r>
      <w:r w:rsidRPr="00C03A70">
        <w:rPr>
          <w:rFonts w:ascii="Times New Roman" w:hAnsi="Times New Roman" w:cs="Times New Roman"/>
          <w:sz w:val="24"/>
          <w:szCs w:val="24"/>
        </w:rPr>
        <w:t xml:space="preserve">easures in </w:t>
      </w:r>
      <w:r>
        <w:rPr>
          <w:rFonts w:ascii="Times New Roman" w:hAnsi="Times New Roman" w:cs="Times New Roman"/>
          <w:sz w:val="24"/>
          <w:szCs w:val="24"/>
        </w:rPr>
        <w:t>o</w:t>
      </w:r>
      <w:r w:rsidRPr="00C03A70">
        <w:rPr>
          <w:rFonts w:ascii="Times New Roman" w:hAnsi="Times New Roman" w:cs="Times New Roman"/>
          <w:sz w:val="24"/>
          <w:szCs w:val="24"/>
        </w:rPr>
        <w:t xml:space="preserve">ptimal CEO </w:t>
      </w:r>
      <w:r>
        <w:rPr>
          <w:rFonts w:ascii="Times New Roman" w:hAnsi="Times New Roman" w:cs="Times New Roman"/>
          <w:sz w:val="24"/>
          <w:szCs w:val="24"/>
        </w:rPr>
        <w:t>c</w:t>
      </w:r>
      <w:r w:rsidRPr="00C03A70">
        <w:rPr>
          <w:rFonts w:ascii="Times New Roman" w:hAnsi="Times New Roman" w:cs="Times New Roman"/>
          <w:sz w:val="24"/>
          <w:szCs w:val="24"/>
        </w:rPr>
        <w:t xml:space="preserve">ompensation </w:t>
      </w:r>
      <w:r>
        <w:rPr>
          <w:rFonts w:ascii="Times New Roman" w:hAnsi="Times New Roman" w:cs="Times New Roman"/>
          <w:sz w:val="24"/>
          <w:szCs w:val="24"/>
        </w:rPr>
        <w:t>c</w:t>
      </w:r>
      <w:r w:rsidRPr="00C03A70">
        <w:rPr>
          <w:rFonts w:ascii="Times New Roman" w:hAnsi="Times New Roman" w:cs="Times New Roman"/>
          <w:sz w:val="24"/>
          <w:szCs w:val="24"/>
        </w:rPr>
        <w:t xml:space="preserve">ontracts. </w:t>
      </w:r>
      <w:r w:rsidRPr="00C03A70">
        <w:rPr>
          <w:rFonts w:ascii="Times New Roman" w:hAnsi="Times New Roman" w:cs="Times New Roman"/>
          <w:i/>
          <w:sz w:val="24"/>
          <w:szCs w:val="24"/>
        </w:rPr>
        <w:t>The Accounting Review</w:t>
      </w:r>
      <w:r w:rsidRPr="00C03A70">
        <w:rPr>
          <w:rFonts w:ascii="Times New Roman" w:hAnsi="Times New Roman" w:cs="Times New Roman"/>
          <w:sz w:val="24"/>
          <w:szCs w:val="24"/>
        </w:rPr>
        <w:t xml:space="preserve"> 78 (4):957--981.</w:t>
      </w:r>
    </w:p>
    <w:p w14:paraId="1E5A2C66" w14:textId="77777777" w:rsidR="00C03A70" w:rsidRDefault="00C03A70" w:rsidP="009746E7">
      <w:pPr>
        <w:ind w:left="540" w:hanging="540"/>
        <w:rPr>
          <w:rFonts w:ascii="Times New Roman" w:hAnsi="Times New Roman" w:cs="Times New Roman"/>
          <w:sz w:val="24"/>
          <w:szCs w:val="24"/>
        </w:rPr>
      </w:pPr>
    </w:p>
    <w:p w14:paraId="457B05AE" w14:textId="11C64AA9" w:rsidR="00245E11"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Dietrich, J. R., K. A. Muller, III, and E. J. </w:t>
      </w:r>
      <w:proofErr w:type="spellStart"/>
      <w:r w:rsidRPr="00911F48">
        <w:rPr>
          <w:rFonts w:ascii="Times New Roman" w:hAnsi="Times New Roman" w:cs="Times New Roman"/>
          <w:sz w:val="24"/>
          <w:szCs w:val="24"/>
        </w:rPr>
        <w:t>Riedl</w:t>
      </w:r>
      <w:proofErr w:type="spellEnd"/>
      <w:r w:rsidRPr="00911F48">
        <w:rPr>
          <w:rFonts w:ascii="Times New Roman" w:hAnsi="Times New Roman" w:cs="Times New Roman"/>
          <w:sz w:val="24"/>
          <w:szCs w:val="24"/>
        </w:rPr>
        <w:t xml:space="preserve">. 2007. Asymmetric timeliness tests of accounting conservatism.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12 (1):</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95-124.</w:t>
      </w:r>
    </w:p>
    <w:p w14:paraId="32C5019B" w14:textId="77777777" w:rsidR="00FA4325" w:rsidRPr="00911F48" w:rsidRDefault="00FA4325" w:rsidP="009746E7">
      <w:pPr>
        <w:ind w:left="540" w:hanging="540"/>
        <w:rPr>
          <w:rFonts w:ascii="Times New Roman" w:hAnsi="Times New Roman" w:cs="Times New Roman"/>
          <w:sz w:val="24"/>
          <w:szCs w:val="24"/>
        </w:rPr>
      </w:pPr>
    </w:p>
    <w:p w14:paraId="6694E3A6" w14:textId="6102D7A4" w:rsidR="00FA4325"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Donovan, J., R. M. Frankel, and X. Martin. 2015. Accounting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and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reditor </w:t>
      </w:r>
      <w:r w:rsidR="00FA4325">
        <w:rPr>
          <w:rFonts w:ascii="Times New Roman" w:hAnsi="Times New Roman" w:cs="Times New Roman"/>
          <w:sz w:val="24"/>
          <w:szCs w:val="24"/>
        </w:rPr>
        <w:t>recovery r</w:t>
      </w:r>
      <w:r w:rsidRPr="00911F48">
        <w:rPr>
          <w:rFonts w:ascii="Times New Roman" w:hAnsi="Times New Roman" w:cs="Times New Roman"/>
          <w:sz w:val="24"/>
          <w:szCs w:val="24"/>
        </w:rPr>
        <w:t xml:space="preserve">ate.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90 (6):2267-2303.</w:t>
      </w:r>
    </w:p>
    <w:p w14:paraId="451793BB" w14:textId="77777777" w:rsidR="00FA4325" w:rsidRPr="00911F48" w:rsidRDefault="00FA4325" w:rsidP="009746E7">
      <w:pPr>
        <w:ind w:left="540" w:hanging="540"/>
        <w:rPr>
          <w:rFonts w:ascii="Times New Roman" w:hAnsi="Times New Roman" w:cs="Times New Roman"/>
          <w:sz w:val="24"/>
          <w:szCs w:val="24"/>
        </w:rPr>
      </w:pPr>
    </w:p>
    <w:p w14:paraId="17BBB1F0" w14:textId="434948E9" w:rsidR="000D51E5"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Dye, R. A. 2001. An evaluation of “essays on disclosure” and the disclosure literature in accounting.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32 (1–3):181-235.</w:t>
      </w:r>
    </w:p>
    <w:p w14:paraId="6D7EF074" w14:textId="77777777" w:rsidR="00FA4325" w:rsidRPr="00911F48" w:rsidRDefault="00FA4325" w:rsidP="009746E7">
      <w:pPr>
        <w:ind w:left="540" w:hanging="540"/>
        <w:rPr>
          <w:rFonts w:ascii="Times New Roman" w:hAnsi="Times New Roman" w:cs="Times New Roman"/>
          <w:sz w:val="24"/>
          <w:szCs w:val="24"/>
        </w:rPr>
      </w:pPr>
    </w:p>
    <w:p w14:paraId="318112F7" w14:textId="16409870"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Easley, D., and M. O'Hara. 2004. Information and the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ost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apital.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59 (4):1553-1583.</w:t>
      </w:r>
    </w:p>
    <w:p w14:paraId="712063E3" w14:textId="77777777" w:rsidR="00FA4325" w:rsidRPr="00911F48" w:rsidRDefault="00FA4325" w:rsidP="00245E11">
      <w:pPr>
        <w:ind w:left="540" w:hanging="540"/>
        <w:rPr>
          <w:rFonts w:ascii="Times New Roman" w:hAnsi="Times New Roman" w:cs="Times New Roman"/>
          <w:sz w:val="24"/>
          <w:szCs w:val="24"/>
        </w:rPr>
      </w:pPr>
    </w:p>
    <w:p w14:paraId="3FC15763" w14:textId="34344A39"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Ettredge</w:t>
      </w:r>
      <w:proofErr w:type="spellEnd"/>
      <w:r w:rsidRPr="00911F48">
        <w:rPr>
          <w:rFonts w:ascii="Times New Roman" w:hAnsi="Times New Roman" w:cs="Times New Roman"/>
          <w:sz w:val="24"/>
          <w:szCs w:val="24"/>
        </w:rPr>
        <w:t xml:space="preserve">, M. L., Y. Huang, and Z. </w:t>
      </w:r>
      <w:proofErr w:type="spellStart"/>
      <w:r w:rsidRPr="00911F48">
        <w:rPr>
          <w:rFonts w:ascii="Times New Roman" w:hAnsi="Times New Roman" w:cs="Times New Roman"/>
          <w:sz w:val="24"/>
          <w:szCs w:val="24"/>
        </w:rPr>
        <w:t>Weining</w:t>
      </w:r>
      <w:proofErr w:type="spellEnd"/>
      <w:r w:rsidRPr="00911F48">
        <w:rPr>
          <w:rFonts w:ascii="Times New Roman" w:hAnsi="Times New Roman" w:cs="Times New Roman"/>
          <w:sz w:val="24"/>
          <w:szCs w:val="24"/>
        </w:rPr>
        <w:t xml:space="preserve">. 2016.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onservative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and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ecurities </w:t>
      </w:r>
      <w:r w:rsidR="00FA4325">
        <w:rPr>
          <w:rFonts w:ascii="Times New Roman" w:hAnsi="Times New Roman" w:cs="Times New Roman"/>
          <w:sz w:val="24"/>
          <w:szCs w:val="24"/>
        </w:rPr>
        <w:t>class a</w:t>
      </w:r>
      <w:r w:rsidRPr="00911F48">
        <w:rPr>
          <w:rFonts w:ascii="Times New Roman" w:hAnsi="Times New Roman" w:cs="Times New Roman"/>
          <w:sz w:val="24"/>
          <w:szCs w:val="24"/>
        </w:rPr>
        <w:t xml:space="preserve">ction </w:t>
      </w:r>
      <w:r w:rsidR="00FA4325">
        <w:rPr>
          <w:rFonts w:ascii="Times New Roman" w:hAnsi="Times New Roman" w:cs="Times New Roman"/>
          <w:sz w:val="24"/>
          <w:szCs w:val="24"/>
        </w:rPr>
        <w:t>l</w:t>
      </w:r>
      <w:r w:rsidRPr="00911F48">
        <w:rPr>
          <w:rFonts w:ascii="Times New Roman" w:hAnsi="Times New Roman" w:cs="Times New Roman"/>
          <w:sz w:val="24"/>
          <w:szCs w:val="24"/>
        </w:rPr>
        <w:t xml:space="preserve">awsuits. </w:t>
      </w:r>
      <w:r w:rsidRPr="00FA4325">
        <w:rPr>
          <w:rFonts w:ascii="Times New Roman" w:hAnsi="Times New Roman" w:cs="Times New Roman"/>
          <w:i/>
          <w:sz w:val="24"/>
          <w:szCs w:val="24"/>
        </w:rPr>
        <w:t>Accounting Horizons</w:t>
      </w:r>
      <w:r w:rsidRPr="00911F48">
        <w:rPr>
          <w:rFonts w:ascii="Times New Roman" w:hAnsi="Times New Roman" w:cs="Times New Roman"/>
          <w:sz w:val="24"/>
          <w:szCs w:val="24"/>
        </w:rPr>
        <w:t xml:space="preserve"> 30 (1):93-118.</w:t>
      </w:r>
    </w:p>
    <w:p w14:paraId="0C115494" w14:textId="77777777" w:rsidR="00FA4325" w:rsidRPr="00911F48" w:rsidRDefault="00FA4325" w:rsidP="00245E11">
      <w:pPr>
        <w:ind w:left="540" w:hanging="540"/>
        <w:rPr>
          <w:rFonts w:ascii="Times New Roman" w:hAnsi="Times New Roman" w:cs="Times New Roman"/>
          <w:sz w:val="24"/>
          <w:szCs w:val="24"/>
        </w:rPr>
      </w:pPr>
    </w:p>
    <w:p w14:paraId="50058782" w14:textId="6BDF49E2" w:rsidR="00F83152"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Ettredge</w:t>
      </w:r>
      <w:proofErr w:type="spellEnd"/>
      <w:r w:rsidRPr="00911F48">
        <w:rPr>
          <w:rFonts w:ascii="Times New Roman" w:hAnsi="Times New Roman" w:cs="Times New Roman"/>
          <w:sz w:val="24"/>
          <w:szCs w:val="24"/>
        </w:rPr>
        <w:t xml:space="preserve">, M., Y. Huang, and W. Zhang. 2012. Earnings restatements and differential timeliness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(3):</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489-503.</w:t>
      </w:r>
    </w:p>
    <w:p w14:paraId="70224A46" w14:textId="153D34BC" w:rsidR="001D2E60" w:rsidRDefault="001D2E60" w:rsidP="00245E11">
      <w:pPr>
        <w:ind w:left="540" w:hanging="540"/>
        <w:rPr>
          <w:rFonts w:ascii="Times New Roman" w:hAnsi="Times New Roman" w:cs="Times New Roman"/>
          <w:sz w:val="24"/>
          <w:szCs w:val="24"/>
        </w:rPr>
      </w:pPr>
    </w:p>
    <w:p w14:paraId="681CD60E" w14:textId="3144B5A6" w:rsidR="001D2E60" w:rsidRPr="00911F48" w:rsidRDefault="001D2E60" w:rsidP="001D2E60">
      <w:pPr>
        <w:spacing w:after="160" w:line="259" w:lineRule="auto"/>
        <w:ind w:left="540" w:hanging="540"/>
        <w:rPr>
          <w:rFonts w:ascii="Times New Roman" w:hAnsi="Times New Roman" w:cs="Times New Roman"/>
          <w:sz w:val="24"/>
          <w:szCs w:val="24"/>
        </w:rPr>
      </w:pPr>
      <w:r w:rsidRPr="001D2E60">
        <w:rPr>
          <w:rFonts w:ascii="Times New Roman" w:hAnsi="Times New Roman" w:cs="Times New Roman"/>
          <w:sz w:val="24"/>
          <w:szCs w:val="24"/>
        </w:rPr>
        <w:t xml:space="preserve">Finger, C. 1994. The ability of earnings to predict future earnings and cash flow. </w:t>
      </w:r>
      <w:r w:rsidRPr="001D2E60">
        <w:rPr>
          <w:rFonts w:ascii="Times New Roman" w:hAnsi="Times New Roman" w:cs="Times New Roman"/>
          <w:i/>
          <w:sz w:val="24"/>
          <w:szCs w:val="24"/>
        </w:rPr>
        <w:t>Journal of Accounting Research</w:t>
      </w:r>
      <w:r w:rsidRPr="001D2E60">
        <w:rPr>
          <w:rFonts w:ascii="Times New Roman" w:hAnsi="Times New Roman" w:cs="Times New Roman"/>
          <w:sz w:val="24"/>
          <w:szCs w:val="24"/>
        </w:rPr>
        <w:t xml:space="preserve"> 32 (2): 210–223. </w:t>
      </w:r>
    </w:p>
    <w:p w14:paraId="23F84FAA" w14:textId="1B602808"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Francis, J. R., and X. Martin. 2010. Acquisition profitability and timely loss recognition.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49 (1-2):161-178.</w:t>
      </w:r>
    </w:p>
    <w:p w14:paraId="52EC6EFB" w14:textId="77777777" w:rsidR="00FA4325" w:rsidRPr="00911F48" w:rsidRDefault="00FA4325" w:rsidP="00245E11">
      <w:pPr>
        <w:ind w:left="540" w:hanging="540"/>
        <w:rPr>
          <w:rFonts w:ascii="Times New Roman" w:hAnsi="Times New Roman" w:cs="Times New Roman"/>
          <w:sz w:val="24"/>
          <w:szCs w:val="24"/>
        </w:rPr>
      </w:pPr>
    </w:p>
    <w:p w14:paraId="0814ECFA" w14:textId="07F23545"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García Lara, J., B. </w:t>
      </w:r>
      <w:proofErr w:type="spellStart"/>
      <w:r w:rsidRPr="00911F48">
        <w:rPr>
          <w:rFonts w:ascii="Times New Roman" w:hAnsi="Times New Roman" w:cs="Times New Roman"/>
          <w:sz w:val="24"/>
          <w:szCs w:val="24"/>
        </w:rPr>
        <w:t>Osma</w:t>
      </w:r>
      <w:proofErr w:type="spellEnd"/>
      <w:r w:rsidRPr="00911F48">
        <w:rPr>
          <w:rFonts w:ascii="Times New Roman" w:hAnsi="Times New Roman" w:cs="Times New Roman"/>
          <w:sz w:val="24"/>
          <w:szCs w:val="24"/>
        </w:rPr>
        <w:t xml:space="preserve">, and F. </w:t>
      </w:r>
      <w:proofErr w:type="spellStart"/>
      <w:r w:rsidRPr="00911F48">
        <w:rPr>
          <w:rFonts w:ascii="Times New Roman" w:hAnsi="Times New Roman" w:cs="Times New Roman"/>
          <w:sz w:val="24"/>
          <w:szCs w:val="24"/>
        </w:rPr>
        <w:t>Penalva</w:t>
      </w:r>
      <w:proofErr w:type="spellEnd"/>
      <w:r w:rsidRPr="00911F48">
        <w:rPr>
          <w:rFonts w:ascii="Times New Roman" w:hAnsi="Times New Roman" w:cs="Times New Roman"/>
          <w:sz w:val="24"/>
          <w:szCs w:val="24"/>
        </w:rPr>
        <w:t xml:space="preserve">. 2014. Information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onsequences of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European Accounting Review</w:t>
      </w:r>
      <w:r w:rsidRPr="00911F48">
        <w:rPr>
          <w:rFonts w:ascii="Times New Roman" w:hAnsi="Times New Roman" w:cs="Times New Roman"/>
          <w:sz w:val="24"/>
          <w:szCs w:val="24"/>
        </w:rPr>
        <w:t xml:space="preserve"> 23.</w:t>
      </w:r>
    </w:p>
    <w:p w14:paraId="2A504C5D" w14:textId="77777777" w:rsidR="00FA4325" w:rsidRPr="00911F48" w:rsidRDefault="00FA4325" w:rsidP="00245E11">
      <w:pPr>
        <w:ind w:left="540" w:hanging="540"/>
        <w:rPr>
          <w:rFonts w:ascii="Times New Roman" w:hAnsi="Times New Roman" w:cs="Times New Roman"/>
          <w:sz w:val="24"/>
          <w:szCs w:val="24"/>
        </w:rPr>
      </w:pPr>
    </w:p>
    <w:p w14:paraId="25D3D97C" w14:textId="651FDF3A"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Givoly</w:t>
      </w:r>
      <w:proofErr w:type="spellEnd"/>
      <w:r w:rsidRPr="00911F48">
        <w:rPr>
          <w:rFonts w:ascii="Times New Roman" w:hAnsi="Times New Roman" w:cs="Times New Roman"/>
          <w:sz w:val="24"/>
          <w:szCs w:val="24"/>
        </w:rPr>
        <w:t xml:space="preserve">, D., and C. </w:t>
      </w:r>
      <w:proofErr w:type="spellStart"/>
      <w:r w:rsidRPr="00911F48">
        <w:rPr>
          <w:rFonts w:ascii="Times New Roman" w:hAnsi="Times New Roman" w:cs="Times New Roman"/>
          <w:sz w:val="24"/>
          <w:szCs w:val="24"/>
        </w:rPr>
        <w:t>Hayn</w:t>
      </w:r>
      <w:proofErr w:type="spellEnd"/>
      <w:r w:rsidRPr="00911F48">
        <w:rPr>
          <w:rFonts w:ascii="Times New Roman" w:hAnsi="Times New Roman" w:cs="Times New Roman"/>
          <w:sz w:val="24"/>
          <w:szCs w:val="24"/>
        </w:rPr>
        <w:t>. 2000. The changing time-series properties of earnings</w:t>
      </w:r>
      <w:r w:rsidR="00FA4325">
        <w:rPr>
          <w:rFonts w:ascii="Times New Roman" w:hAnsi="Times New Roman" w:cs="Times New Roman"/>
          <w:sz w:val="24"/>
          <w:szCs w:val="24"/>
        </w:rPr>
        <w:t>, cash flows and accruals: Has fi</w:t>
      </w:r>
      <w:r w:rsidRPr="00911F48">
        <w:rPr>
          <w:rFonts w:ascii="Times New Roman" w:hAnsi="Times New Roman" w:cs="Times New Roman"/>
          <w:sz w:val="24"/>
          <w:szCs w:val="24"/>
        </w:rPr>
        <w:t xml:space="preserve">nancial reporting become more conservative?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w:t>
      </w:r>
    </w:p>
    <w:p w14:paraId="273DAB07" w14:textId="77777777" w:rsidR="00FA4325" w:rsidRPr="00911F48" w:rsidRDefault="00FA4325" w:rsidP="00245E11">
      <w:pPr>
        <w:ind w:left="540" w:hanging="540"/>
        <w:rPr>
          <w:rFonts w:ascii="Times New Roman" w:hAnsi="Times New Roman" w:cs="Times New Roman"/>
          <w:sz w:val="24"/>
          <w:szCs w:val="24"/>
        </w:rPr>
      </w:pPr>
    </w:p>
    <w:p w14:paraId="416C520D" w14:textId="28A1FCD1"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Givoly</w:t>
      </w:r>
      <w:proofErr w:type="spellEnd"/>
      <w:r w:rsidRPr="00911F48">
        <w:rPr>
          <w:rFonts w:ascii="Times New Roman" w:hAnsi="Times New Roman" w:cs="Times New Roman"/>
          <w:sz w:val="24"/>
          <w:szCs w:val="24"/>
        </w:rPr>
        <w:t xml:space="preserve">, D., C. </w:t>
      </w:r>
      <w:proofErr w:type="spellStart"/>
      <w:r w:rsidRPr="00911F48">
        <w:rPr>
          <w:rFonts w:ascii="Times New Roman" w:hAnsi="Times New Roman" w:cs="Times New Roman"/>
          <w:sz w:val="24"/>
          <w:szCs w:val="24"/>
        </w:rPr>
        <w:t>Hayn</w:t>
      </w:r>
      <w:proofErr w:type="spellEnd"/>
      <w:r w:rsidRPr="00911F48">
        <w:rPr>
          <w:rFonts w:ascii="Times New Roman" w:hAnsi="Times New Roman" w:cs="Times New Roman"/>
          <w:sz w:val="24"/>
          <w:szCs w:val="24"/>
        </w:rPr>
        <w:t xml:space="preserve">, and A. Natarajan. 2007. Measuring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w:t>
      </w:r>
    </w:p>
    <w:p w14:paraId="3E3FAFFF" w14:textId="77777777" w:rsidR="00245E11" w:rsidRPr="00911F48" w:rsidRDefault="00245E11" w:rsidP="00245E11">
      <w:pPr>
        <w:ind w:left="540" w:hanging="540"/>
        <w:rPr>
          <w:rFonts w:ascii="Times New Roman" w:hAnsi="Times New Roman" w:cs="Times New Roman"/>
          <w:sz w:val="24"/>
          <w:szCs w:val="24"/>
        </w:rPr>
      </w:pPr>
    </w:p>
    <w:p w14:paraId="62DE8009" w14:textId="44DF4310" w:rsidR="000D51E5"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Graham, J. R., C. R. Harvey, and M. </w:t>
      </w:r>
      <w:proofErr w:type="spellStart"/>
      <w:r w:rsidRPr="00911F48">
        <w:rPr>
          <w:rFonts w:ascii="Times New Roman" w:hAnsi="Times New Roman" w:cs="Times New Roman"/>
          <w:sz w:val="24"/>
          <w:szCs w:val="24"/>
        </w:rPr>
        <w:t>Puri</w:t>
      </w:r>
      <w:proofErr w:type="spellEnd"/>
      <w:r w:rsidRPr="00911F48">
        <w:rPr>
          <w:rFonts w:ascii="Times New Roman" w:hAnsi="Times New Roman" w:cs="Times New Roman"/>
          <w:sz w:val="24"/>
          <w:szCs w:val="24"/>
        </w:rPr>
        <w:t xml:space="preserve">. 2013. Managerial attitudes and corporate actions. </w:t>
      </w:r>
      <w:r w:rsidRPr="00911F48">
        <w:rPr>
          <w:rFonts w:ascii="Times New Roman" w:hAnsi="Times New Roman" w:cs="Times New Roman"/>
          <w:i/>
          <w:iCs/>
          <w:sz w:val="24"/>
          <w:szCs w:val="24"/>
        </w:rPr>
        <w:t>Journal of Financial Economics</w:t>
      </w:r>
      <w:r w:rsidRPr="00911F48">
        <w:rPr>
          <w:rFonts w:ascii="Times New Roman" w:hAnsi="Times New Roman" w:cs="Times New Roman"/>
          <w:sz w:val="24"/>
          <w:szCs w:val="24"/>
        </w:rPr>
        <w:t xml:space="preserve"> 109 (1):103-121.</w:t>
      </w:r>
    </w:p>
    <w:p w14:paraId="441C90E2" w14:textId="77777777" w:rsidR="00F83152" w:rsidRPr="00911F48" w:rsidRDefault="00F83152" w:rsidP="009746E7">
      <w:pPr>
        <w:ind w:left="540" w:hanging="540"/>
        <w:rPr>
          <w:rFonts w:ascii="Times New Roman" w:eastAsia="Times New Roman" w:hAnsi="Times New Roman" w:cs="Times New Roman"/>
          <w:sz w:val="24"/>
          <w:szCs w:val="24"/>
        </w:rPr>
      </w:pPr>
    </w:p>
    <w:p w14:paraId="308E2E08" w14:textId="6A440FF0" w:rsidR="000D51E5" w:rsidRPr="00911F48" w:rsidRDefault="000D51E5" w:rsidP="009746E7">
      <w:pPr>
        <w:ind w:left="540" w:hanging="540"/>
        <w:rPr>
          <w:rFonts w:ascii="Times New Roman" w:eastAsia="Times New Roman" w:hAnsi="Times New Roman" w:cs="Times New Roman"/>
          <w:sz w:val="24"/>
          <w:szCs w:val="24"/>
        </w:rPr>
      </w:pPr>
      <w:r w:rsidRPr="00911F48">
        <w:rPr>
          <w:rFonts w:ascii="Times New Roman" w:eastAsia="Times New Roman" w:hAnsi="Times New Roman" w:cs="Times New Roman"/>
          <w:sz w:val="24"/>
          <w:szCs w:val="24"/>
        </w:rPr>
        <w:t>Hall, </w:t>
      </w:r>
      <w:r w:rsidR="00D338B4" w:rsidRPr="00911F48">
        <w:rPr>
          <w:rFonts w:ascii="Times New Roman" w:eastAsia="Times New Roman" w:hAnsi="Times New Roman" w:cs="Times New Roman"/>
          <w:sz w:val="24"/>
          <w:szCs w:val="24"/>
        </w:rPr>
        <w:t xml:space="preserve">B. and </w:t>
      </w:r>
      <w:r w:rsidRPr="00911F48">
        <w:rPr>
          <w:rFonts w:ascii="Times New Roman" w:eastAsia="Times New Roman" w:hAnsi="Times New Roman" w:cs="Times New Roman"/>
          <w:sz w:val="24"/>
          <w:szCs w:val="24"/>
        </w:rPr>
        <w:t>J. Lerner</w:t>
      </w:r>
      <w:r w:rsidR="00F83152" w:rsidRPr="00911F48">
        <w:rPr>
          <w:rFonts w:ascii="Times New Roman" w:eastAsia="Times New Roman" w:hAnsi="Times New Roman" w:cs="Times New Roman"/>
          <w:sz w:val="24"/>
          <w:szCs w:val="24"/>
        </w:rPr>
        <w:t xml:space="preserve">. 2009. </w:t>
      </w:r>
      <w:r w:rsidRPr="00911F48">
        <w:rPr>
          <w:rFonts w:ascii="Times New Roman" w:eastAsia="Times New Roman" w:hAnsi="Times New Roman" w:cs="Times New Roman"/>
          <w:bCs/>
          <w:sz w:val="24"/>
          <w:szCs w:val="24"/>
        </w:rPr>
        <w:t>The financing of R&amp;D and innovation</w:t>
      </w:r>
      <w:r w:rsidR="00D338B4" w:rsidRPr="00911F48">
        <w:rPr>
          <w:rFonts w:ascii="Times New Roman" w:eastAsia="Times New Roman" w:hAnsi="Times New Roman" w:cs="Times New Roman"/>
          <w:sz w:val="24"/>
          <w:szCs w:val="24"/>
        </w:rPr>
        <w:t xml:space="preserve">. </w:t>
      </w:r>
      <w:r w:rsidRPr="00911F48">
        <w:rPr>
          <w:rFonts w:ascii="Times New Roman" w:eastAsia="Times New Roman" w:hAnsi="Times New Roman" w:cs="Times New Roman"/>
          <w:sz w:val="24"/>
          <w:szCs w:val="24"/>
        </w:rPr>
        <w:t>Handbook of the economics of innovation, E</w:t>
      </w:r>
      <w:r w:rsidR="00D338B4" w:rsidRPr="00911F48">
        <w:rPr>
          <w:rFonts w:ascii="Times New Roman" w:eastAsia="Times New Roman" w:hAnsi="Times New Roman" w:cs="Times New Roman"/>
          <w:sz w:val="24"/>
          <w:szCs w:val="24"/>
        </w:rPr>
        <w:t xml:space="preserve">lsevier – North Holland: </w:t>
      </w:r>
      <w:r w:rsidRPr="00911F48">
        <w:rPr>
          <w:rFonts w:ascii="Times New Roman" w:eastAsia="Times New Roman" w:hAnsi="Times New Roman" w:cs="Times New Roman"/>
          <w:sz w:val="24"/>
          <w:szCs w:val="24"/>
        </w:rPr>
        <w:t>609-639.</w:t>
      </w:r>
    </w:p>
    <w:p w14:paraId="31F84AAD" w14:textId="6A63E7B6" w:rsidR="000D51E5" w:rsidRPr="00911F48" w:rsidRDefault="000D51E5" w:rsidP="009746E7">
      <w:pPr>
        <w:ind w:left="540" w:hanging="540"/>
        <w:rPr>
          <w:rFonts w:ascii="Times New Roman" w:eastAsia="Times New Roman" w:hAnsi="Times New Roman" w:cs="Times New Roman"/>
          <w:sz w:val="24"/>
          <w:szCs w:val="24"/>
        </w:rPr>
      </w:pPr>
    </w:p>
    <w:p w14:paraId="0C53AC5C" w14:textId="7CC685A3" w:rsidR="000D51E5" w:rsidRDefault="00D338B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Hand, J.</w:t>
      </w:r>
      <w:r w:rsidR="000D51E5" w:rsidRPr="00911F48">
        <w:rPr>
          <w:rFonts w:ascii="Times New Roman" w:hAnsi="Times New Roman" w:cs="Times New Roman"/>
          <w:sz w:val="24"/>
          <w:szCs w:val="24"/>
        </w:rPr>
        <w:t xml:space="preserve"> 1990. A test of the extended functional fixation hypothesis. </w:t>
      </w:r>
      <w:r w:rsidR="000D51E5" w:rsidRPr="00911F48">
        <w:rPr>
          <w:rFonts w:ascii="Times New Roman" w:hAnsi="Times New Roman" w:cs="Times New Roman"/>
          <w:i/>
          <w:sz w:val="24"/>
          <w:szCs w:val="24"/>
        </w:rPr>
        <w:t>The Accounting Review</w:t>
      </w:r>
      <w:r w:rsidR="000D51E5" w:rsidRPr="00911F48">
        <w:rPr>
          <w:rFonts w:ascii="Times New Roman" w:hAnsi="Times New Roman" w:cs="Times New Roman"/>
          <w:sz w:val="24"/>
          <w:szCs w:val="24"/>
        </w:rPr>
        <w:t xml:space="preserve"> 65</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 xml:space="preserve"> 740–763.</w:t>
      </w:r>
    </w:p>
    <w:p w14:paraId="6701BFCD" w14:textId="77777777" w:rsidR="00FA4325" w:rsidRPr="00911F48" w:rsidRDefault="00FA4325" w:rsidP="009746E7">
      <w:pPr>
        <w:ind w:left="540" w:hanging="540"/>
        <w:rPr>
          <w:rFonts w:ascii="Times New Roman" w:hAnsi="Times New Roman" w:cs="Times New Roman"/>
          <w:sz w:val="24"/>
          <w:szCs w:val="24"/>
        </w:rPr>
      </w:pPr>
    </w:p>
    <w:p w14:paraId="04423000" w14:textId="5F391DFB" w:rsidR="00D338B4"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Heflin, F., C. Hsu, and Q. </w:t>
      </w:r>
      <w:proofErr w:type="spellStart"/>
      <w:r w:rsidRPr="00911F48">
        <w:rPr>
          <w:rFonts w:ascii="Times New Roman" w:hAnsi="Times New Roman" w:cs="Times New Roman"/>
          <w:sz w:val="24"/>
          <w:szCs w:val="24"/>
        </w:rPr>
        <w:t>Jin</w:t>
      </w:r>
      <w:proofErr w:type="spellEnd"/>
      <w:r w:rsidRPr="00911F48">
        <w:rPr>
          <w:rFonts w:ascii="Times New Roman" w:hAnsi="Times New Roman" w:cs="Times New Roman"/>
          <w:sz w:val="24"/>
          <w:szCs w:val="24"/>
        </w:rPr>
        <w:t xml:space="preserve">. 2015. Accounting conservatism and Street earnings.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20 (2):674-709.</w:t>
      </w:r>
    </w:p>
    <w:p w14:paraId="2D401275" w14:textId="77777777" w:rsidR="00FA4325" w:rsidRPr="00911F48" w:rsidRDefault="00FA4325" w:rsidP="009746E7">
      <w:pPr>
        <w:ind w:left="540" w:hanging="540"/>
        <w:rPr>
          <w:rFonts w:ascii="Times New Roman" w:hAnsi="Times New Roman" w:cs="Times New Roman"/>
          <w:sz w:val="24"/>
          <w:szCs w:val="24"/>
        </w:rPr>
      </w:pPr>
    </w:p>
    <w:p w14:paraId="63E9931B" w14:textId="0FA19E14"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Hsu, C., K. E. </w:t>
      </w:r>
      <w:proofErr w:type="spellStart"/>
      <w:r w:rsidRPr="00911F48">
        <w:rPr>
          <w:rFonts w:ascii="Times New Roman" w:hAnsi="Times New Roman" w:cs="Times New Roman"/>
          <w:sz w:val="24"/>
          <w:szCs w:val="24"/>
        </w:rPr>
        <w:t>Novoselov</w:t>
      </w:r>
      <w:proofErr w:type="spellEnd"/>
      <w:r w:rsidRPr="00911F48">
        <w:rPr>
          <w:rFonts w:ascii="Times New Roman" w:hAnsi="Times New Roman" w:cs="Times New Roman"/>
          <w:sz w:val="24"/>
          <w:szCs w:val="24"/>
        </w:rPr>
        <w:t xml:space="preserve">, and R. Wang. 2017. Does Accounting Conservatism Mitigate the Shortcomings of CEO Overconfidence?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92</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(6): 77-101.</w:t>
      </w:r>
    </w:p>
    <w:p w14:paraId="36696844" w14:textId="77777777" w:rsidR="00FA4325" w:rsidRPr="00911F48" w:rsidRDefault="00FA4325" w:rsidP="00245E11">
      <w:pPr>
        <w:ind w:left="540" w:hanging="540"/>
        <w:rPr>
          <w:rFonts w:ascii="Times New Roman" w:hAnsi="Times New Roman" w:cs="Times New Roman"/>
          <w:sz w:val="24"/>
          <w:szCs w:val="24"/>
        </w:rPr>
      </w:pPr>
    </w:p>
    <w:p w14:paraId="2DA7B56D" w14:textId="2C4BA4B3" w:rsidR="00136E0C"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Huang, X., S. H. Teoh, and Y. Zhang. 2014. Tone </w:t>
      </w:r>
      <w:r w:rsidR="009746E7" w:rsidRPr="00911F48">
        <w:rPr>
          <w:rFonts w:ascii="Times New Roman" w:hAnsi="Times New Roman" w:cs="Times New Roman"/>
          <w:sz w:val="24"/>
          <w:szCs w:val="24"/>
        </w:rPr>
        <w:t>m</w:t>
      </w:r>
      <w:r w:rsidRPr="00911F48">
        <w:rPr>
          <w:rFonts w:ascii="Times New Roman" w:hAnsi="Times New Roman" w:cs="Times New Roman"/>
          <w:sz w:val="24"/>
          <w:szCs w:val="24"/>
        </w:rPr>
        <w:t xml:space="preserve">anagement.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89 (3):1083-1113. </w:t>
      </w:r>
    </w:p>
    <w:p w14:paraId="6CFA2F7B" w14:textId="77777777" w:rsidR="00FA4325" w:rsidRPr="00911F48" w:rsidRDefault="00FA4325" w:rsidP="009746E7">
      <w:pPr>
        <w:ind w:left="540" w:hanging="540"/>
        <w:rPr>
          <w:rFonts w:ascii="Times New Roman" w:hAnsi="Times New Roman" w:cs="Times New Roman"/>
          <w:sz w:val="24"/>
          <w:szCs w:val="24"/>
        </w:rPr>
      </w:pPr>
    </w:p>
    <w:p w14:paraId="5357F2C4" w14:textId="23DF2AD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Hui, K. W., S. </w:t>
      </w:r>
      <w:proofErr w:type="spellStart"/>
      <w:r w:rsidRPr="00911F48">
        <w:rPr>
          <w:rFonts w:ascii="Times New Roman" w:hAnsi="Times New Roman" w:cs="Times New Roman"/>
          <w:sz w:val="24"/>
          <w:szCs w:val="24"/>
        </w:rPr>
        <w:t>Klasa</w:t>
      </w:r>
      <w:proofErr w:type="spellEnd"/>
      <w:r w:rsidRPr="00911F48">
        <w:rPr>
          <w:rFonts w:ascii="Times New Roman" w:hAnsi="Times New Roman" w:cs="Times New Roman"/>
          <w:sz w:val="24"/>
          <w:szCs w:val="24"/>
        </w:rPr>
        <w:t xml:space="preserve">, and P. E. Yeung. 2012. Corporate suppliers and customers and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(1-2):115-135.</w:t>
      </w:r>
    </w:p>
    <w:p w14:paraId="437C3E78" w14:textId="77777777" w:rsidR="00FA4325" w:rsidRPr="00911F48" w:rsidRDefault="00FA4325" w:rsidP="00911F48">
      <w:pPr>
        <w:ind w:left="540" w:hanging="540"/>
        <w:rPr>
          <w:rFonts w:ascii="Times New Roman" w:hAnsi="Times New Roman" w:cs="Times New Roman"/>
          <w:sz w:val="24"/>
          <w:szCs w:val="24"/>
        </w:rPr>
      </w:pPr>
    </w:p>
    <w:p w14:paraId="700918A0" w14:textId="3F8F0B5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Khan, M., and R. L. Watts. 2009. Estimation and empirical properties of a firm-year measure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48 (2–3):132-150.</w:t>
      </w:r>
    </w:p>
    <w:p w14:paraId="6DB3DD3A" w14:textId="77777777" w:rsidR="00FA4325" w:rsidRPr="00911F48" w:rsidRDefault="00FA4325" w:rsidP="00911F48">
      <w:pPr>
        <w:ind w:left="540" w:hanging="540"/>
        <w:rPr>
          <w:rFonts w:ascii="Times New Roman" w:hAnsi="Times New Roman" w:cs="Times New Roman"/>
          <w:sz w:val="24"/>
          <w:szCs w:val="24"/>
        </w:rPr>
      </w:pPr>
    </w:p>
    <w:p w14:paraId="5AFB91D4" w14:textId="3D818652" w:rsidR="000D51E5"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Kim, I., and D. J. Skinner. 2012. Measuring securities litigation risk.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(1–2):290-310.</w:t>
      </w:r>
    </w:p>
    <w:p w14:paraId="2D0ACE7C" w14:textId="77777777" w:rsidR="00FA4325" w:rsidRPr="00911F48" w:rsidRDefault="00FA4325" w:rsidP="00911F48">
      <w:pPr>
        <w:ind w:left="540" w:hanging="540"/>
        <w:rPr>
          <w:rFonts w:ascii="Times New Roman" w:hAnsi="Times New Roman" w:cs="Times New Roman"/>
          <w:sz w:val="24"/>
          <w:szCs w:val="24"/>
        </w:rPr>
      </w:pPr>
    </w:p>
    <w:p w14:paraId="27158AD7" w14:textId="55C127A3" w:rsidR="00A67702" w:rsidRDefault="00136E0C"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Kothari, S. P., S. Shu, and P. D. Wysocki. 2009. Do</w:t>
      </w:r>
      <w:r w:rsidR="009746E7" w:rsidRPr="00911F48">
        <w:rPr>
          <w:rFonts w:ascii="Times New Roman" w:hAnsi="Times New Roman" w:cs="Times New Roman"/>
          <w:sz w:val="24"/>
          <w:szCs w:val="24"/>
        </w:rPr>
        <w:t xml:space="preserve"> managers withhold bad news?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241-276. </w:t>
      </w:r>
    </w:p>
    <w:p w14:paraId="6E1A7E90" w14:textId="77777777" w:rsidR="00FA4325" w:rsidRPr="00911F48" w:rsidRDefault="00FA4325" w:rsidP="009746E7">
      <w:pPr>
        <w:ind w:left="540" w:hanging="540"/>
        <w:rPr>
          <w:rFonts w:ascii="Times New Roman" w:hAnsi="Times New Roman" w:cs="Times New Roman"/>
          <w:sz w:val="24"/>
          <w:szCs w:val="24"/>
        </w:rPr>
      </w:pPr>
    </w:p>
    <w:p w14:paraId="6D6790AB" w14:textId="4AFBC5AD" w:rsidR="00A67702" w:rsidRPr="00911F48" w:rsidRDefault="00911F48"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Krishnan, G. V., and G. Visvanathan. 2008. Does </w:t>
      </w:r>
      <w:proofErr w:type="gramStart"/>
      <w:r w:rsidRPr="00911F48">
        <w:rPr>
          <w:rFonts w:ascii="Times New Roman" w:hAnsi="Times New Roman" w:cs="Times New Roman"/>
          <w:sz w:val="24"/>
          <w:szCs w:val="24"/>
        </w:rPr>
        <w:t>The</w:t>
      </w:r>
      <w:proofErr w:type="gramEnd"/>
      <w:r w:rsidRPr="00911F48">
        <w:rPr>
          <w:rFonts w:ascii="Times New Roman" w:hAnsi="Times New Roman" w:cs="Times New Roman"/>
          <w:sz w:val="24"/>
          <w:szCs w:val="24"/>
        </w:rPr>
        <w:t xml:space="preserve"> Sox Definition of an Accounting Expert Matter? The Association Between Audit Committee Directors' Accounting Expertise and Accounting Conservatism. </w:t>
      </w:r>
      <w:r w:rsidRPr="00FA4325">
        <w:rPr>
          <w:rFonts w:ascii="Times New Roman" w:hAnsi="Times New Roman" w:cs="Times New Roman"/>
          <w:i/>
          <w:sz w:val="24"/>
          <w:szCs w:val="24"/>
        </w:rPr>
        <w:t>Contemporary Accounting Research</w:t>
      </w:r>
      <w:r w:rsidRPr="00911F48">
        <w:rPr>
          <w:rFonts w:ascii="Times New Roman" w:hAnsi="Times New Roman" w:cs="Times New Roman"/>
          <w:sz w:val="24"/>
          <w:szCs w:val="24"/>
        </w:rPr>
        <w:t xml:space="preserve"> 25 (3): 827-857.</w:t>
      </w:r>
    </w:p>
    <w:p w14:paraId="139EA041" w14:textId="765EE66A"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Kross</w:t>
      </w:r>
      <w:proofErr w:type="spellEnd"/>
      <w:r w:rsidRPr="00911F48">
        <w:rPr>
          <w:rFonts w:ascii="Times New Roman" w:hAnsi="Times New Roman" w:cs="Times New Roman"/>
          <w:sz w:val="24"/>
          <w:szCs w:val="24"/>
        </w:rPr>
        <w:t xml:space="preserve">, W. J., and I. Suk. 2012. Does Regulation FD work? Evidence from analysts' reliance on public disclosure.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(1–2):225-248.</w:t>
      </w:r>
    </w:p>
    <w:p w14:paraId="31BA6852" w14:textId="77777777" w:rsidR="00FA4325" w:rsidRPr="00911F48" w:rsidRDefault="00FA4325" w:rsidP="00911F48">
      <w:pPr>
        <w:ind w:left="540" w:hanging="540"/>
        <w:rPr>
          <w:rFonts w:ascii="Times New Roman" w:hAnsi="Times New Roman" w:cs="Times New Roman"/>
          <w:sz w:val="24"/>
          <w:szCs w:val="24"/>
        </w:rPr>
      </w:pPr>
    </w:p>
    <w:p w14:paraId="4776A35F" w14:textId="205AB97E"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Kross</w:t>
      </w:r>
      <w:proofErr w:type="spellEnd"/>
      <w:r w:rsidRPr="00911F48">
        <w:rPr>
          <w:rFonts w:ascii="Times New Roman" w:hAnsi="Times New Roman" w:cs="Times New Roman"/>
          <w:sz w:val="24"/>
          <w:szCs w:val="24"/>
        </w:rPr>
        <w:t xml:space="preserve">, W. J., B. T. Ro, and I. Suk. 2011. Consistency in meeting or beating earnings expectations and management earnings forecasts. </w:t>
      </w:r>
      <w:r w:rsidRPr="00FA4325">
        <w:rPr>
          <w:rFonts w:ascii="Times New Roman" w:hAnsi="Times New Roman" w:cs="Times New Roman"/>
          <w:i/>
          <w:sz w:val="24"/>
          <w:szCs w:val="24"/>
        </w:rPr>
        <w:t xml:space="preserve">Journal of Accounting and Economics </w:t>
      </w:r>
      <w:r w:rsidRPr="00911F48">
        <w:rPr>
          <w:rFonts w:ascii="Times New Roman" w:hAnsi="Times New Roman" w:cs="Times New Roman"/>
          <w:sz w:val="24"/>
          <w:szCs w:val="24"/>
        </w:rPr>
        <w:t>51 (1–2):37-57.</w:t>
      </w:r>
    </w:p>
    <w:p w14:paraId="538ACA79" w14:textId="77777777" w:rsidR="00FA4325" w:rsidRPr="00911F48" w:rsidRDefault="00FA4325" w:rsidP="00911F48">
      <w:pPr>
        <w:ind w:left="540" w:hanging="540"/>
        <w:rPr>
          <w:rFonts w:ascii="Times New Roman" w:hAnsi="Times New Roman" w:cs="Times New Roman"/>
          <w:sz w:val="24"/>
          <w:szCs w:val="24"/>
        </w:rPr>
      </w:pPr>
    </w:p>
    <w:p w14:paraId="37DB5FDB" w14:textId="20E7659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Kyle, A. 1985. Continuous Auctions and Insider Trading. </w:t>
      </w:r>
      <w:proofErr w:type="spellStart"/>
      <w:r w:rsidRPr="00FA4325">
        <w:rPr>
          <w:rFonts w:ascii="Times New Roman" w:hAnsi="Times New Roman" w:cs="Times New Roman"/>
          <w:i/>
          <w:sz w:val="24"/>
          <w:szCs w:val="24"/>
        </w:rPr>
        <w:t>Econometrica</w:t>
      </w:r>
      <w:proofErr w:type="spellEnd"/>
      <w:r w:rsidRPr="00911F48">
        <w:rPr>
          <w:rFonts w:ascii="Times New Roman" w:hAnsi="Times New Roman" w:cs="Times New Roman"/>
          <w:sz w:val="24"/>
          <w:szCs w:val="24"/>
        </w:rPr>
        <w:t xml:space="preserve"> 53:1315-1335.</w:t>
      </w:r>
    </w:p>
    <w:p w14:paraId="6831B58F" w14:textId="77777777" w:rsidR="00FA4325" w:rsidRPr="00911F48" w:rsidRDefault="00FA4325" w:rsidP="00911F48">
      <w:pPr>
        <w:ind w:left="540" w:hanging="540"/>
        <w:rPr>
          <w:rFonts w:ascii="Times New Roman" w:hAnsi="Times New Roman" w:cs="Times New Roman"/>
          <w:sz w:val="24"/>
          <w:szCs w:val="24"/>
        </w:rPr>
      </w:pPr>
    </w:p>
    <w:p w14:paraId="5DCBD56B" w14:textId="69385AB8" w:rsidR="000738A4"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Lafond, R., and R. L. Watts. 2008. The </w:t>
      </w:r>
      <w:r w:rsidR="009746E7" w:rsidRPr="00911F48">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9746E7" w:rsidRPr="00911F48">
        <w:rPr>
          <w:rFonts w:ascii="Times New Roman" w:hAnsi="Times New Roman" w:cs="Times New Roman"/>
          <w:sz w:val="24"/>
          <w:szCs w:val="24"/>
        </w:rPr>
        <w:t>r</w:t>
      </w:r>
      <w:r w:rsidRPr="00911F48">
        <w:rPr>
          <w:rFonts w:ascii="Times New Roman" w:hAnsi="Times New Roman" w:cs="Times New Roman"/>
          <w:sz w:val="24"/>
          <w:szCs w:val="24"/>
        </w:rPr>
        <w:t xml:space="preserve">ole of </w:t>
      </w:r>
      <w:r w:rsidR="009746E7" w:rsidRP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83 (2): 447-478. </w:t>
      </w:r>
    </w:p>
    <w:p w14:paraId="31FD3B28" w14:textId="77777777" w:rsidR="00FA4325" w:rsidRPr="00911F48" w:rsidRDefault="00FA4325" w:rsidP="009746E7">
      <w:pPr>
        <w:ind w:left="540" w:hanging="540"/>
        <w:rPr>
          <w:rFonts w:ascii="Times New Roman" w:hAnsi="Times New Roman" w:cs="Times New Roman"/>
          <w:sz w:val="24"/>
          <w:szCs w:val="24"/>
        </w:rPr>
      </w:pPr>
    </w:p>
    <w:p w14:paraId="3784CC55" w14:textId="30B88C1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Lambert, R., C. </w:t>
      </w:r>
      <w:proofErr w:type="spellStart"/>
      <w:r w:rsidRPr="00911F48">
        <w:rPr>
          <w:rFonts w:ascii="Times New Roman" w:hAnsi="Times New Roman" w:cs="Times New Roman"/>
          <w:sz w:val="24"/>
          <w:szCs w:val="24"/>
        </w:rPr>
        <w:t>Leuz</w:t>
      </w:r>
      <w:proofErr w:type="spellEnd"/>
      <w:r w:rsidRPr="00911F48">
        <w:rPr>
          <w:rFonts w:ascii="Times New Roman" w:hAnsi="Times New Roman" w:cs="Times New Roman"/>
          <w:sz w:val="24"/>
          <w:szCs w:val="24"/>
        </w:rPr>
        <w:t xml:space="preserve">, and R. </w:t>
      </w:r>
      <w:proofErr w:type="spellStart"/>
      <w:r w:rsidRPr="00911F48">
        <w:rPr>
          <w:rFonts w:ascii="Times New Roman" w:hAnsi="Times New Roman" w:cs="Times New Roman"/>
          <w:sz w:val="24"/>
          <w:szCs w:val="24"/>
        </w:rPr>
        <w:t>Verrecchia</w:t>
      </w:r>
      <w:proofErr w:type="spellEnd"/>
      <w:r w:rsidRPr="00911F48">
        <w:rPr>
          <w:rFonts w:ascii="Times New Roman" w:hAnsi="Times New Roman" w:cs="Times New Roman"/>
          <w:sz w:val="24"/>
          <w:szCs w:val="24"/>
        </w:rPr>
        <w:t xml:space="preserve">. 2008. Information Asymmetry, Information Precision, and the Cost of Capital. </w:t>
      </w:r>
      <w:r w:rsidRPr="00FA4325">
        <w:rPr>
          <w:rFonts w:ascii="Times New Roman" w:hAnsi="Times New Roman" w:cs="Times New Roman"/>
          <w:i/>
          <w:sz w:val="24"/>
          <w:szCs w:val="24"/>
        </w:rPr>
        <w:t>Review of Finance</w:t>
      </w:r>
      <w:r w:rsidRPr="00911F48">
        <w:rPr>
          <w:rFonts w:ascii="Times New Roman" w:hAnsi="Times New Roman" w:cs="Times New Roman"/>
          <w:sz w:val="24"/>
          <w:szCs w:val="24"/>
        </w:rPr>
        <w:t xml:space="preserve"> 16:1-29.</w:t>
      </w:r>
    </w:p>
    <w:p w14:paraId="32E28514" w14:textId="77777777" w:rsidR="00FA4325" w:rsidRPr="00911F48" w:rsidRDefault="00FA4325" w:rsidP="00911F48">
      <w:pPr>
        <w:ind w:left="540" w:hanging="540"/>
        <w:rPr>
          <w:rFonts w:ascii="Times New Roman" w:hAnsi="Times New Roman" w:cs="Times New Roman"/>
          <w:sz w:val="24"/>
          <w:szCs w:val="24"/>
        </w:rPr>
      </w:pPr>
    </w:p>
    <w:p w14:paraId="7C9FA7ED" w14:textId="34CF5EE5"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Lang, M., and R. </w:t>
      </w:r>
      <w:proofErr w:type="spellStart"/>
      <w:r w:rsidRPr="00911F48">
        <w:rPr>
          <w:rFonts w:ascii="Times New Roman" w:hAnsi="Times New Roman" w:cs="Times New Roman"/>
          <w:sz w:val="24"/>
          <w:szCs w:val="24"/>
        </w:rPr>
        <w:t>Lundholm</w:t>
      </w:r>
      <w:proofErr w:type="spellEnd"/>
      <w:r w:rsidRPr="00911F48">
        <w:rPr>
          <w:rFonts w:ascii="Times New Roman" w:hAnsi="Times New Roman" w:cs="Times New Roman"/>
          <w:sz w:val="24"/>
          <w:szCs w:val="24"/>
        </w:rPr>
        <w:t xml:space="preserve">. 1996. Corporate disclosure policy and analyst behavior.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71 (4):467--492.</w:t>
      </w:r>
    </w:p>
    <w:p w14:paraId="12785501" w14:textId="77777777" w:rsidR="00FA4325" w:rsidRPr="00911F48" w:rsidRDefault="00FA4325" w:rsidP="00911F48">
      <w:pPr>
        <w:ind w:left="540" w:hanging="540"/>
        <w:rPr>
          <w:rFonts w:ascii="Times New Roman" w:hAnsi="Times New Roman" w:cs="Times New Roman"/>
          <w:sz w:val="24"/>
          <w:szCs w:val="24"/>
        </w:rPr>
      </w:pPr>
    </w:p>
    <w:p w14:paraId="13FA2124" w14:textId="7F5A723F"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Lawrence, A., R. Sloan, and Y. Sun. 2013. Non-discretionary conservatism: Evidence and implications.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 Supplement 1):112-133. </w:t>
      </w:r>
    </w:p>
    <w:p w14:paraId="4BDDD911" w14:textId="77777777" w:rsidR="00FA4325" w:rsidRPr="00911F48" w:rsidRDefault="00FA4325" w:rsidP="00911F48">
      <w:pPr>
        <w:ind w:left="540" w:hanging="540"/>
        <w:rPr>
          <w:rFonts w:ascii="Times New Roman" w:hAnsi="Times New Roman" w:cs="Times New Roman"/>
          <w:sz w:val="24"/>
          <w:szCs w:val="24"/>
        </w:rPr>
      </w:pPr>
    </w:p>
    <w:p w14:paraId="5341B491" w14:textId="2BD1A1A7"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F. 2010. The information content of forward-looking statements in corporate filings - a naïve Bayesian machine learning approach.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48 (5): 1049-1102.</w:t>
      </w:r>
    </w:p>
    <w:p w14:paraId="243358F0" w14:textId="77777777" w:rsidR="00FA4325" w:rsidRPr="00911F48" w:rsidRDefault="00FA4325" w:rsidP="00911F48">
      <w:pPr>
        <w:ind w:left="540" w:hanging="540"/>
        <w:rPr>
          <w:rFonts w:ascii="Times New Roman" w:hAnsi="Times New Roman" w:cs="Times New Roman"/>
          <w:sz w:val="24"/>
          <w:szCs w:val="24"/>
        </w:rPr>
      </w:pPr>
    </w:p>
    <w:p w14:paraId="2B83BD85" w14:textId="1B1CB7F5"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Z. 2019. Accounting Conservatism and Managers' Forecasting Behavior. Working paper, available at </w:t>
      </w:r>
      <w:hyperlink r:id="rId11" w:history="1">
        <w:r w:rsidRPr="00911F48">
          <w:rPr>
            <w:rStyle w:val="Hyperlink"/>
            <w:rFonts w:ascii="Times New Roman" w:hAnsi="Times New Roman" w:cs="Times New Roman"/>
            <w:sz w:val="24"/>
            <w:szCs w:val="24"/>
          </w:rPr>
          <w:t>https://papers.ssrn.com/sol3/papers.cfm?abstract_id=3487912</w:t>
        </w:r>
      </w:hyperlink>
      <w:r w:rsidRPr="00911F48">
        <w:rPr>
          <w:rFonts w:ascii="Times New Roman" w:hAnsi="Times New Roman" w:cs="Times New Roman"/>
          <w:sz w:val="24"/>
          <w:szCs w:val="24"/>
        </w:rPr>
        <w:t xml:space="preserve">. </w:t>
      </w:r>
    </w:p>
    <w:p w14:paraId="37C9E87A" w14:textId="77777777" w:rsidR="00FA4325" w:rsidRPr="00911F48" w:rsidRDefault="00FA4325" w:rsidP="00911F48">
      <w:pPr>
        <w:ind w:left="540" w:hanging="540"/>
        <w:rPr>
          <w:rFonts w:ascii="Times New Roman" w:hAnsi="Times New Roman" w:cs="Times New Roman"/>
          <w:sz w:val="24"/>
          <w:szCs w:val="24"/>
        </w:rPr>
      </w:pPr>
    </w:p>
    <w:p w14:paraId="4E4EE689" w14:textId="7F159FB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Loughran, T., and B. McDonald. 2011. When Is a Liability Not a Liability? Textual Analysis, Dictionaries, and 10-Ks.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66 (1):35--65. </w:t>
      </w:r>
    </w:p>
    <w:p w14:paraId="7B9DED53" w14:textId="77777777" w:rsidR="00FA4325" w:rsidRPr="00911F48" w:rsidRDefault="00FA4325" w:rsidP="00911F48">
      <w:pPr>
        <w:ind w:left="540" w:hanging="540"/>
        <w:rPr>
          <w:rFonts w:ascii="Times New Roman" w:hAnsi="Times New Roman" w:cs="Times New Roman"/>
          <w:sz w:val="24"/>
          <w:szCs w:val="24"/>
        </w:rPr>
      </w:pPr>
    </w:p>
    <w:p w14:paraId="43EEF0F5" w14:textId="101495D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Louis, H., T. Lys, and A. Sun. 2014. Conservatism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orecast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Working paper, available at </w:t>
      </w:r>
      <w:hyperlink r:id="rId12" w:history="1">
        <w:r w:rsidR="00FA4325" w:rsidRPr="00441235">
          <w:rPr>
            <w:rStyle w:val="Hyperlink"/>
            <w:rFonts w:ascii="Times New Roman" w:hAnsi="Times New Roman" w:cs="Times New Roman"/>
            <w:sz w:val="24"/>
            <w:szCs w:val="24"/>
          </w:rPr>
          <w:t>https://papers.ssrn.com/sol3/papers.cfm?abstract_id=1031981</w:t>
        </w:r>
      </w:hyperlink>
      <w:r w:rsidR="006827AD" w:rsidRPr="006827AD">
        <w:t xml:space="preserve"> </w:t>
      </w:r>
      <w:r w:rsidR="006827AD" w:rsidRPr="006827AD">
        <w:rPr>
          <w:rFonts w:ascii="Times New Roman" w:hAnsi="Times New Roman" w:cs="Times New Roman"/>
          <w:sz w:val="24"/>
          <w:szCs w:val="24"/>
        </w:rPr>
        <w:t>Pennsylvania State University.</w:t>
      </w:r>
      <w:r w:rsidR="006827AD">
        <w:rPr>
          <w:rStyle w:val="Hyperlink"/>
          <w:rFonts w:ascii="Times New Roman" w:hAnsi="Times New Roman" w:cs="Times New Roman"/>
          <w:sz w:val="24"/>
          <w:szCs w:val="24"/>
        </w:rPr>
        <w:t xml:space="preserve"> </w:t>
      </w:r>
    </w:p>
    <w:p w14:paraId="2DFDBFD9" w14:textId="77777777" w:rsidR="00FA4325" w:rsidRPr="00911F48" w:rsidRDefault="00FA4325" w:rsidP="00911F48">
      <w:pPr>
        <w:ind w:left="540" w:hanging="540"/>
        <w:rPr>
          <w:rFonts w:ascii="Times New Roman" w:hAnsi="Times New Roman" w:cs="Times New Roman"/>
          <w:sz w:val="24"/>
          <w:szCs w:val="24"/>
        </w:rPr>
      </w:pPr>
    </w:p>
    <w:p w14:paraId="409EC304" w14:textId="66F7112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Matsumoto, D., M. Pronk, and E. </w:t>
      </w:r>
      <w:proofErr w:type="spellStart"/>
      <w:r w:rsidRPr="00911F48">
        <w:rPr>
          <w:rFonts w:ascii="Times New Roman" w:hAnsi="Times New Roman" w:cs="Times New Roman"/>
          <w:sz w:val="24"/>
          <w:szCs w:val="24"/>
        </w:rPr>
        <w:t>Roelofsen</w:t>
      </w:r>
      <w:proofErr w:type="spellEnd"/>
      <w:r w:rsidRPr="00911F48">
        <w:rPr>
          <w:rFonts w:ascii="Times New Roman" w:hAnsi="Times New Roman" w:cs="Times New Roman"/>
          <w:sz w:val="24"/>
          <w:szCs w:val="24"/>
        </w:rPr>
        <w:t xml:space="preserve">. 2011. What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akes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alls </w:t>
      </w:r>
      <w:r w:rsidR="00FA4325">
        <w:rPr>
          <w:rFonts w:ascii="Times New Roman" w:hAnsi="Times New Roman" w:cs="Times New Roman"/>
          <w:sz w:val="24"/>
          <w:szCs w:val="24"/>
        </w:rPr>
        <w:t>u</w:t>
      </w:r>
      <w:r w:rsidRPr="00911F48">
        <w:rPr>
          <w:rFonts w:ascii="Times New Roman" w:hAnsi="Times New Roman" w:cs="Times New Roman"/>
          <w:sz w:val="24"/>
          <w:szCs w:val="24"/>
        </w:rPr>
        <w:t xml:space="preserve">seful? The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ontent of </w:t>
      </w:r>
      <w:r w:rsidR="00FA4325">
        <w:rPr>
          <w:rFonts w:ascii="Times New Roman" w:hAnsi="Times New Roman" w:cs="Times New Roman"/>
          <w:sz w:val="24"/>
          <w:szCs w:val="24"/>
        </w:rPr>
        <w:t>managers' p</w:t>
      </w:r>
      <w:r w:rsidRPr="00911F48">
        <w:rPr>
          <w:rFonts w:ascii="Times New Roman" w:hAnsi="Times New Roman" w:cs="Times New Roman"/>
          <w:sz w:val="24"/>
          <w:szCs w:val="24"/>
        </w:rPr>
        <w:t xml:space="preserve">resentations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nalysts'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iscussion Sessions.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(4):1383-1414.</w:t>
      </w:r>
    </w:p>
    <w:p w14:paraId="1B54982C" w14:textId="77777777" w:rsidR="00FA4325" w:rsidRPr="00911F48" w:rsidRDefault="00FA4325" w:rsidP="00911F48">
      <w:pPr>
        <w:ind w:left="540" w:hanging="540"/>
        <w:rPr>
          <w:rFonts w:ascii="Times New Roman" w:hAnsi="Times New Roman" w:cs="Times New Roman"/>
          <w:sz w:val="24"/>
          <w:szCs w:val="24"/>
        </w:rPr>
      </w:pPr>
    </w:p>
    <w:p w14:paraId="25AC4C64" w14:textId="5F9FA737"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Mayew</w:t>
      </w:r>
      <w:proofErr w:type="spellEnd"/>
      <w:r w:rsidRPr="00911F48">
        <w:rPr>
          <w:rFonts w:ascii="Times New Roman" w:hAnsi="Times New Roman" w:cs="Times New Roman"/>
          <w:sz w:val="24"/>
          <w:szCs w:val="24"/>
        </w:rPr>
        <w:t xml:space="preserve">, W. J., and M. Venkatachalam. 2012. The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ower of </w:t>
      </w:r>
      <w:r w:rsidR="00FA4325">
        <w:rPr>
          <w:rFonts w:ascii="Times New Roman" w:hAnsi="Times New Roman" w:cs="Times New Roman"/>
          <w:sz w:val="24"/>
          <w:szCs w:val="24"/>
        </w:rPr>
        <w:t>v</w:t>
      </w:r>
      <w:r w:rsidRPr="00911F48">
        <w:rPr>
          <w:rFonts w:ascii="Times New Roman" w:hAnsi="Times New Roman" w:cs="Times New Roman"/>
          <w:sz w:val="24"/>
          <w:szCs w:val="24"/>
        </w:rPr>
        <w:t xml:space="preserve">oice: Managerial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ffective States and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uture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erformance. </w:t>
      </w:r>
      <w:r w:rsidRPr="00FA4325">
        <w:rPr>
          <w:rFonts w:ascii="Times New Roman" w:hAnsi="Times New Roman" w:cs="Times New Roman"/>
          <w:i/>
          <w:sz w:val="24"/>
          <w:szCs w:val="24"/>
        </w:rPr>
        <w:t xml:space="preserve">The Journal of Finance </w:t>
      </w:r>
      <w:r w:rsidRPr="00911F48">
        <w:rPr>
          <w:rFonts w:ascii="Times New Roman" w:hAnsi="Times New Roman" w:cs="Times New Roman"/>
          <w:sz w:val="24"/>
          <w:szCs w:val="24"/>
        </w:rPr>
        <w:t>67 (1):1-44.</w:t>
      </w:r>
    </w:p>
    <w:p w14:paraId="24FAF9AB" w14:textId="77777777" w:rsidR="00FA4325" w:rsidRPr="00911F48" w:rsidRDefault="00FA4325" w:rsidP="00911F48">
      <w:pPr>
        <w:ind w:left="540" w:hanging="540"/>
        <w:rPr>
          <w:rFonts w:ascii="Times New Roman" w:hAnsi="Times New Roman" w:cs="Times New Roman"/>
          <w:sz w:val="24"/>
          <w:szCs w:val="24"/>
        </w:rPr>
      </w:pPr>
    </w:p>
    <w:p w14:paraId="119CD5B4" w14:textId="63CA3C5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 xml:space="preserve">Nikolaev, V. V. 2010. Debt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ovenants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onservatism</w:t>
      </w:r>
      <w:r w:rsidR="00FA4325">
        <w:rPr>
          <w:rFonts w:ascii="Times New Roman" w:hAnsi="Times New Roman" w:cs="Times New Roman"/>
          <w:sz w:val="24"/>
          <w:szCs w:val="24"/>
        </w:rPr>
        <w:t>.</w:t>
      </w:r>
      <w:r w:rsidRPr="00911F48">
        <w:rPr>
          <w:rFonts w:ascii="Times New Roman" w:hAnsi="Times New Roman" w:cs="Times New Roman"/>
          <w:sz w:val="24"/>
          <w:szCs w:val="24"/>
        </w:rPr>
        <w:t xml:space="preserve"> </w:t>
      </w:r>
      <w:r w:rsidRPr="00FA4325">
        <w:rPr>
          <w:rFonts w:ascii="Times New Roman" w:hAnsi="Times New Roman" w:cs="Times New Roman"/>
          <w:i/>
          <w:sz w:val="24"/>
          <w:szCs w:val="24"/>
        </w:rPr>
        <w:t xml:space="preserve">Journal of Accounting Research </w:t>
      </w:r>
      <w:r w:rsidRPr="00911F48">
        <w:rPr>
          <w:rFonts w:ascii="Times New Roman" w:hAnsi="Times New Roman" w:cs="Times New Roman"/>
          <w:sz w:val="24"/>
          <w:szCs w:val="24"/>
        </w:rPr>
        <w:t>48</w:t>
      </w:r>
      <w:r w:rsidR="00FA4325">
        <w:rPr>
          <w:rFonts w:ascii="Times New Roman" w:hAnsi="Times New Roman" w:cs="Times New Roman"/>
          <w:sz w:val="24"/>
          <w:szCs w:val="24"/>
        </w:rPr>
        <w:t xml:space="preserve">(1): </w:t>
      </w:r>
      <w:r w:rsidRPr="00911F48">
        <w:rPr>
          <w:rFonts w:ascii="Times New Roman" w:hAnsi="Times New Roman" w:cs="Times New Roman"/>
          <w:sz w:val="24"/>
          <w:szCs w:val="24"/>
        </w:rPr>
        <w:t>51-89.</w:t>
      </w:r>
    </w:p>
    <w:p w14:paraId="28823564" w14:textId="77777777" w:rsidR="00FA4325" w:rsidRPr="00911F48" w:rsidRDefault="00FA4325" w:rsidP="00911F48">
      <w:pPr>
        <w:ind w:left="540" w:hanging="540"/>
        <w:rPr>
          <w:rFonts w:ascii="Times New Roman" w:hAnsi="Times New Roman" w:cs="Times New Roman"/>
          <w:sz w:val="24"/>
          <w:szCs w:val="24"/>
        </w:rPr>
      </w:pPr>
    </w:p>
    <w:p w14:paraId="7D07424A" w14:textId="41E9F768" w:rsidR="000738A4"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xml:space="preserve">, T. 1999. Do Investors Trade Too Much? </w:t>
      </w:r>
      <w:r w:rsidRPr="00FA4325">
        <w:rPr>
          <w:rFonts w:ascii="Times New Roman" w:hAnsi="Times New Roman" w:cs="Times New Roman"/>
          <w:i/>
          <w:sz w:val="24"/>
          <w:szCs w:val="24"/>
        </w:rPr>
        <w:t>American Economic Review</w:t>
      </w:r>
      <w:r w:rsidRPr="00911F48">
        <w:rPr>
          <w:rFonts w:ascii="Times New Roman" w:hAnsi="Times New Roman" w:cs="Times New Roman"/>
          <w:sz w:val="24"/>
          <w:szCs w:val="24"/>
        </w:rPr>
        <w:t xml:space="preserve"> 89:1279-1298.</w:t>
      </w:r>
    </w:p>
    <w:p w14:paraId="47C51D48" w14:textId="77777777" w:rsidR="00FA4325" w:rsidRPr="00911F48" w:rsidRDefault="00FA4325" w:rsidP="00911F48">
      <w:pPr>
        <w:ind w:left="540" w:hanging="540"/>
        <w:rPr>
          <w:rFonts w:ascii="Times New Roman" w:hAnsi="Times New Roman" w:cs="Times New Roman"/>
          <w:sz w:val="24"/>
          <w:szCs w:val="24"/>
        </w:rPr>
      </w:pPr>
    </w:p>
    <w:p w14:paraId="21E0D091" w14:textId="219FEDB6"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Patatoukas</w:t>
      </w:r>
      <w:proofErr w:type="spellEnd"/>
      <w:r w:rsidRPr="00911F48">
        <w:rPr>
          <w:rFonts w:ascii="Times New Roman" w:hAnsi="Times New Roman" w:cs="Times New Roman"/>
          <w:sz w:val="24"/>
          <w:szCs w:val="24"/>
        </w:rPr>
        <w:t xml:space="preserve">, P. N., and J. K. Thomas. 2011. More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vidence of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in the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ifferential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imeliness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easure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(5):1765-1793.</w:t>
      </w:r>
    </w:p>
    <w:p w14:paraId="0F6F28ED" w14:textId="77777777" w:rsidR="000507EA" w:rsidRDefault="000507EA" w:rsidP="00911F48">
      <w:pPr>
        <w:autoSpaceDE w:val="0"/>
        <w:autoSpaceDN w:val="0"/>
        <w:adjustRightInd w:val="0"/>
        <w:ind w:left="540" w:hanging="540"/>
        <w:rPr>
          <w:rFonts w:ascii="Times New Roman" w:hAnsi="Times New Roman" w:cs="Times New Roman"/>
          <w:sz w:val="24"/>
          <w:szCs w:val="24"/>
        </w:rPr>
      </w:pPr>
    </w:p>
    <w:p w14:paraId="3D8E5265" w14:textId="39230D7E" w:rsidR="000507EA" w:rsidRDefault="000507EA" w:rsidP="00911F48">
      <w:pPr>
        <w:autoSpaceDE w:val="0"/>
        <w:autoSpaceDN w:val="0"/>
        <w:adjustRightInd w:val="0"/>
        <w:ind w:left="540" w:hanging="540"/>
        <w:rPr>
          <w:rFonts w:ascii="Times New Roman" w:hAnsi="Times New Roman" w:cs="Times New Roman"/>
          <w:sz w:val="24"/>
          <w:szCs w:val="24"/>
        </w:rPr>
      </w:pPr>
      <w:proofErr w:type="spellStart"/>
      <w:r>
        <w:rPr>
          <w:rFonts w:ascii="Times New Roman" w:hAnsi="Times New Roman" w:cs="Times New Roman"/>
          <w:sz w:val="24"/>
          <w:szCs w:val="24"/>
        </w:rPr>
        <w:t>Pae</w:t>
      </w:r>
      <w:proofErr w:type="spellEnd"/>
      <w:r>
        <w:rPr>
          <w:rFonts w:ascii="Times New Roman" w:hAnsi="Times New Roman" w:cs="Times New Roman"/>
          <w:sz w:val="24"/>
          <w:szCs w:val="24"/>
        </w:rPr>
        <w:t xml:space="preserve">, J., and D. B. Thornton. </w:t>
      </w:r>
      <w:r w:rsidRPr="000507EA">
        <w:rPr>
          <w:rFonts w:ascii="Times New Roman" w:hAnsi="Times New Roman" w:cs="Times New Roman"/>
          <w:sz w:val="24"/>
          <w:szCs w:val="24"/>
        </w:rPr>
        <w:t xml:space="preserve">2010. Association between accounting conservatism and analysts’ forecast inefficiency. </w:t>
      </w:r>
      <w:r w:rsidRPr="000507EA">
        <w:rPr>
          <w:rFonts w:ascii="Times New Roman" w:hAnsi="Times New Roman" w:cs="Times New Roman"/>
          <w:i/>
          <w:sz w:val="24"/>
          <w:szCs w:val="24"/>
        </w:rPr>
        <w:t>Asia-Pacific Journal of Financial Studies</w:t>
      </w:r>
      <w:r>
        <w:rPr>
          <w:rFonts w:ascii="Times New Roman" w:hAnsi="Times New Roman" w:cs="Times New Roman"/>
          <w:sz w:val="24"/>
          <w:szCs w:val="24"/>
        </w:rPr>
        <w:t xml:space="preserve"> 39 (2): </w:t>
      </w:r>
      <w:r w:rsidRPr="000507EA">
        <w:rPr>
          <w:rFonts w:ascii="Times New Roman" w:hAnsi="Times New Roman" w:cs="Times New Roman"/>
          <w:sz w:val="24"/>
          <w:szCs w:val="24"/>
        </w:rPr>
        <w:t>171–197.</w:t>
      </w:r>
    </w:p>
    <w:p w14:paraId="3481B8F3" w14:textId="77777777" w:rsidR="000507EA" w:rsidRPr="00911F48" w:rsidRDefault="000507EA" w:rsidP="00911F48">
      <w:pPr>
        <w:autoSpaceDE w:val="0"/>
        <w:autoSpaceDN w:val="0"/>
        <w:adjustRightInd w:val="0"/>
        <w:ind w:left="540" w:hanging="540"/>
        <w:rPr>
          <w:rFonts w:ascii="Times New Roman" w:hAnsi="Times New Roman" w:cs="Times New Roman"/>
          <w:sz w:val="24"/>
          <w:szCs w:val="24"/>
        </w:rPr>
      </w:pPr>
    </w:p>
    <w:p w14:paraId="48AE02CC" w14:textId="12239B1E"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Patatoukas</w:t>
      </w:r>
      <w:proofErr w:type="spellEnd"/>
      <w:r w:rsidRPr="00911F48">
        <w:rPr>
          <w:rFonts w:ascii="Times New Roman" w:hAnsi="Times New Roman" w:cs="Times New Roman"/>
          <w:sz w:val="24"/>
          <w:szCs w:val="24"/>
        </w:rPr>
        <w:t xml:space="preserve">, P. N., and J. K. Thomas. 2016. Placebo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ests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91 (2):625-648.</w:t>
      </w:r>
    </w:p>
    <w:p w14:paraId="1F9E606F"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223B55CD" w14:textId="2E2960B7"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Ramalingegowda</w:t>
      </w:r>
      <w:proofErr w:type="spellEnd"/>
      <w:r w:rsidRPr="00911F48">
        <w:rPr>
          <w:rFonts w:ascii="Times New Roman" w:hAnsi="Times New Roman" w:cs="Times New Roman"/>
          <w:sz w:val="24"/>
          <w:szCs w:val="24"/>
        </w:rPr>
        <w:t xml:space="preserve">, S., and Y. Yu. 2012. Institutional ownership and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(1-2):98-114.</w:t>
      </w:r>
    </w:p>
    <w:p w14:paraId="0470169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1CA1021A" w14:textId="4B67E414" w:rsidR="00F83152" w:rsidRPr="00911F48" w:rsidRDefault="00F83152" w:rsidP="009746E7">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Ross, M., and F. </w:t>
      </w:r>
      <w:proofErr w:type="spellStart"/>
      <w:r w:rsidRPr="00911F48">
        <w:rPr>
          <w:rFonts w:ascii="Times New Roman" w:hAnsi="Times New Roman" w:cs="Times New Roman"/>
          <w:sz w:val="24"/>
          <w:szCs w:val="24"/>
        </w:rPr>
        <w:t>Sicoly</w:t>
      </w:r>
      <w:proofErr w:type="spellEnd"/>
      <w:r w:rsidRPr="00911F48">
        <w:rPr>
          <w:rFonts w:ascii="Times New Roman" w:hAnsi="Times New Roman" w:cs="Times New Roman"/>
          <w:sz w:val="24"/>
          <w:szCs w:val="24"/>
        </w:rPr>
        <w:t xml:space="preserve">. 1979. Egocentric biases in availability and attribution. </w:t>
      </w:r>
      <w:r w:rsidRPr="00911F48">
        <w:rPr>
          <w:rFonts w:ascii="Times New Roman" w:hAnsi="Times New Roman" w:cs="Times New Roman"/>
          <w:i/>
          <w:sz w:val="24"/>
          <w:szCs w:val="24"/>
        </w:rPr>
        <w:t>Journal of Personality and Social Psychology</w:t>
      </w:r>
      <w:r w:rsidRPr="00911F48">
        <w:rPr>
          <w:rFonts w:ascii="Times New Roman" w:hAnsi="Times New Roman" w:cs="Times New Roman"/>
          <w:sz w:val="24"/>
          <w:szCs w:val="24"/>
        </w:rPr>
        <w:t xml:space="preserve"> </w:t>
      </w:r>
      <w:r w:rsidR="000738A4" w:rsidRPr="00911F48">
        <w:rPr>
          <w:rFonts w:ascii="Times New Roman" w:hAnsi="Times New Roman" w:cs="Times New Roman"/>
          <w:sz w:val="24"/>
          <w:szCs w:val="24"/>
        </w:rPr>
        <w:t>37 (3): 322–</w:t>
      </w:r>
      <w:r w:rsidRPr="00911F48">
        <w:rPr>
          <w:rFonts w:ascii="Times New Roman" w:hAnsi="Times New Roman" w:cs="Times New Roman"/>
          <w:sz w:val="24"/>
          <w:szCs w:val="24"/>
        </w:rPr>
        <w:t xml:space="preserve">336. </w:t>
      </w:r>
      <w:r w:rsidR="000738A4" w:rsidRPr="00911F48">
        <w:rPr>
          <w:rFonts w:ascii="Times New Roman" w:hAnsi="Times New Roman" w:cs="Times New Roman"/>
          <w:sz w:val="24"/>
          <w:szCs w:val="24"/>
        </w:rPr>
        <w:t xml:space="preserve"> </w:t>
      </w:r>
    </w:p>
    <w:p w14:paraId="287C2645" w14:textId="77777777" w:rsidR="00911F48" w:rsidRPr="00911F48" w:rsidRDefault="00911F48" w:rsidP="00911F48">
      <w:pPr>
        <w:autoSpaceDE w:val="0"/>
        <w:autoSpaceDN w:val="0"/>
        <w:adjustRightInd w:val="0"/>
        <w:ind w:left="540" w:hanging="540"/>
        <w:rPr>
          <w:rFonts w:ascii="Times New Roman" w:hAnsi="Times New Roman" w:cs="Times New Roman"/>
          <w:sz w:val="24"/>
          <w:szCs w:val="24"/>
        </w:rPr>
      </w:pPr>
    </w:p>
    <w:p w14:paraId="6BA5AC21" w14:textId="17B5C8D0"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Roychowdhury</w:t>
      </w:r>
      <w:proofErr w:type="spellEnd"/>
      <w:r w:rsidRPr="00911F48">
        <w:rPr>
          <w:rFonts w:ascii="Times New Roman" w:hAnsi="Times New Roman" w:cs="Times New Roman"/>
          <w:sz w:val="24"/>
          <w:szCs w:val="24"/>
        </w:rPr>
        <w:t xml:space="preserve">, S., and X. Martin. 2013. Understanding discretion in conservatism: An alternative viewpoint.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(2-3):134-146.</w:t>
      </w:r>
    </w:p>
    <w:p w14:paraId="33E5A2D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3297DE5A" w14:textId="00538DBC" w:rsidR="00911F48" w:rsidRP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Ryan, S. G. 2006. Identifying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 xml:space="preserve">European Accounting Review </w:t>
      </w:r>
      <w:r w:rsidRPr="00911F48">
        <w:rPr>
          <w:rFonts w:ascii="Times New Roman" w:hAnsi="Times New Roman" w:cs="Times New Roman"/>
          <w:sz w:val="24"/>
          <w:szCs w:val="24"/>
        </w:rPr>
        <w:t>15 (4):511-525.</w:t>
      </w:r>
    </w:p>
    <w:p w14:paraId="162DF90A" w14:textId="25FF813C" w:rsidR="00F83152" w:rsidRPr="00911F48" w:rsidRDefault="00F83152" w:rsidP="009746E7">
      <w:pPr>
        <w:pStyle w:val="Heading2"/>
        <w:shd w:val="clear" w:color="auto" w:fill="FFFFFF"/>
        <w:ind w:left="540" w:hanging="540"/>
        <w:rPr>
          <w:b w:val="0"/>
          <w:sz w:val="24"/>
          <w:szCs w:val="24"/>
        </w:rPr>
      </w:pPr>
      <w:r w:rsidRPr="00911F48">
        <w:rPr>
          <w:b w:val="0"/>
          <w:sz w:val="24"/>
          <w:szCs w:val="24"/>
        </w:rPr>
        <w:t>Security and Exchange Committee. 2003. Interpretation: Commission guidance regarding management’s discussion and analysis of financial condition and results of operations. Release Nos. 33-8350; 34-48960; FR-72.</w:t>
      </w:r>
    </w:p>
    <w:p w14:paraId="560DA2CD" w14:textId="7C9748A8" w:rsidR="00F83152" w:rsidRPr="00911F48" w:rsidRDefault="00F83152" w:rsidP="009746E7">
      <w:pPr>
        <w:pStyle w:val="Heading2"/>
        <w:shd w:val="clear" w:color="auto" w:fill="FFFFFF"/>
        <w:ind w:left="540" w:hanging="540"/>
        <w:rPr>
          <w:b w:val="0"/>
          <w:sz w:val="24"/>
          <w:szCs w:val="24"/>
        </w:rPr>
      </w:pPr>
      <w:proofErr w:type="spellStart"/>
      <w:r w:rsidRPr="00911F48">
        <w:rPr>
          <w:b w:val="0"/>
          <w:sz w:val="24"/>
          <w:szCs w:val="24"/>
        </w:rPr>
        <w:t>Sias</w:t>
      </w:r>
      <w:proofErr w:type="spellEnd"/>
      <w:r w:rsidRPr="00911F48">
        <w:rPr>
          <w:b w:val="0"/>
          <w:sz w:val="24"/>
          <w:szCs w:val="24"/>
        </w:rPr>
        <w:t xml:space="preserve">, R., </w:t>
      </w:r>
      <w:r w:rsidR="000738A4" w:rsidRPr="00911F48">
        <w:rPr>
          <w:b w:val="0"/>
          <w:sz w:val="24"/>
          <w:szCs w:val="24"/>
        </w:rPr>
        <w:t xml:space="preserve">L. Starks, and S. Titman. </w:t>
      </w:r>
      <w:r w:rsidRPr="00911F48">
        <w:rPr>
          <w:b w:val="0"/>
          <w:sz w:val="24"/>
          <w:szCs w:val="24"/>
        </w:rPr>
        <w:t>2006. Changes in institutional ownership and stock returns: assessment and metho</w:t>
      </w:r>
      <w:r w:rsidR="000738A4" w:rsidRPr="00911F48">
        <w:rPr>
          <w:b w:val="0"/>
          <w:sz w:val="24"/>
          <w:szCs w:val="24"/>
        </w:rPr>
        <w:t xml:space="preserve">dology. </w:t>
      </w:r>
      <w:r w:rsidR="000738A4" w:rsidRPr="00911F48">
        <w:rPr>
          <w:b w:val="0"/>
          <w:i/>
          <w:sz w:val="24"/>
          <w:szCs w:val="24"/>
        </w:rPr>
        <w:t>Journal of Business</w:t>
      </w:r>
      <w:r w:rsidR="000738A4" w:rsidRPr="00911F48">
        <w:rPr>
          <w:b w:val="0"/>
          <w:sz w:val="24"/>
          <w:szCs w:val="24"/>
        </w:rPr>
        <w:t xml:space="preserve"> 79: </w:t>
      </w:r>
      <w:r w:rsidRPr="00911F48">
        <w:rPr>
          <w:b w:val="0"/>
          <w:sz w:val="24"/>
          <w:szCs w:val="24"/>
        </w:rPr>
        <w:t>2869–2910.</w:t>
      </w:r>
    </w:p>
    <w:p w14:paraId="397B34B5" w14:textId="7F4BF2AD" w:rsidR="00F83152" w:rsidRPr="00911F48" w:rsidRDefault="00F83152" w:rsidP="009746E7">
      <w:pPr>
        <w:pStyle w:val="Heading2"/>
        <w:shd w:val="clear" w:color="auto" w:fill="FFFFFF"/>
        <w:ind w:left="540" w:hanging="540"/>
        <w:rPr>
          <w:b w:val="0"/>
          <w:sz w:val="24"/>
          <w:szCs w:val="24"/>
        </w:rPr>
      </w:pPr>
      <w:r w:rsidRPr="00911F48">
        <w:rPr>
          <w:b w:val="0"/>
          <w:sz w:val="24"/>
          <w:szCs w:val="24"/>
        </w:rPr>
        <w:t xml:space="preserve">Smith, D., </w:t>
      </w:r>
      <w:r w:rsidR="000738A4" w:rsidRPr="00911F48">
        <w:rPr>
          <w:b w:val="0"/>
          <w:sz w:val="24"/>
          <w:szCs w:val="24"/>
        </w:rPr>
        <w:t xml:space="preserve">and R. Watts. </w:t>
      </w:r>
      <w:r w:rsidRPr="00911F48">
        <w:rPr>
          <w:b w:val="0"/>
          <w:sz w:val="24"/>
          <w:szCs w:val="24"/>
        </w:rPr>
        <w:t xml:space="preserve">1992. The investment opportunity set and corporate financing, dividend and compensation policies. </w:t>
      </w:r>
      <w:r w:rsidRPr="00911F48">
        <w:rPr>
          <w:b w:val="0"/>
          <w:i/>
          <w:sz w:val="24"/>
          <w:szCs w:val="24"/>
        </w:rPr>
        <w:t>Journal of Financial Economics</w:t>
      </w:r>
      <w:r w:rsidRPr="00911F48">
        <w:rPr>
          <w:b w:val="0"/>
          <w:sz w:val="24"/>
          <w:szCs w:val="24"/>
        </w:rPr>
        <w:t xml:space="preserve"> 32, 263–292.</w:t>
      </w:r>
    </w:p>
    <w:p w14:paraId="0046ABF8" w14:textId="59EA1177" w:rsidR="00F83152" w:rsidRPr="00911F48"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Tan, H.-T., E. Y. Wang, and B. O. Zhou. 2014. When the use of positive language backfires: The joint effect of tone, readability, and investor sophistication on earnings judgments,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52 (1):273-302.</w:t>
      </w:r>
    </w:p>
    <w:p w14:paraId="094FCFD0" w14:textId="77777777" w:rsidR="00911F48" w:rsidRPr="00911F48" w:rsidRDefault="00911F48" w:rsidP="00911F48">
      <w:pPr>
        <w:ind w:left="540" w:hanging="540"/>
        <w:rPr>
          <w:rFonts w:ascii="Times New Roman" w:hAnsi="Times New Roman" w:cs="Times New Roman"/>
          <w:sz w:val="24"/>
          <w:szCs w:val="24"/>
          <w:shd w:val="pct15" w:color="auto" w:fill="FFFFFF"/>
        </w:rPr>
      </w:pPr>
    </w:p>
    <w:p w14:paraId="1870AA04" w14:textId="0778EC0D"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Tucker, J. W., and P. A. </w:t>
      </w:r>
      <w:proofErr w:type="spellStart"/>
      <w:r w:rsidRPr="00911F48">
        <w:rPr>
          <w:rFonts w:ascii="Times New Roman" w:hAnsi="Times New Roman" w:cs="Times New Roman"/>
          <w:sz w:val="24"/>
          <w:szCs w:val="24"/>
        </w:rPr>
        <w:t>Zarowin</w:t>
      </w:r>
      <w:proofErr w:type="spellEnd"/>
      <w:r w:rsidRPr="00911F48">
        <w:rPr>
          <w:rFonts w:ascii="Times New Roman" w:hAnsi="Times New Roman" w:cs="Times New Roman"/>
          <w:sz w:val="24"/>
          <w:szCs w:val="24"/>
        </w:rPr>
        <w:t xml:space="preserve">. 2006. Does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ncome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moothing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mprove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nformativeness?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81 (1):251-270.</w:t>
      </w:r>
    </w:p>
    <w:p w14:paraId="242A78C1" w14:textId="77777777" w:rsidR="00FA4325" w:rsidRPr="00911F48" w:rsidRDefault="00FA4325" w:rsidP="00911F48">
      <w:pPr>
        <w:ind w:left="540" w:hanging="540"/>
        <w:rPr>
          <w:rFonts w:ascii="Times New Roman" w:hAnsi="Times New Roman" w:cs="Times New Roman"/>
          <w:sz w:val="24"/>
          <w:szCs w:val="24"/>
        </w:rPr>
      </w:pPr>
    </w:p>
    <w:p w14:paraId="6352AAD2" w14:textId="356E427F" w:rsidR="00F83152"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Walther, B., 1997. Investor sophistication and market earnings expectation. </w:t>
      </w:r>
      <w:r w:rsidRPr="00911F48">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157–179. </w:t>
      </w:r>
      <w:r w:rsidR="009746E7" w:rsidRPr="00911F48">
        <w:rPr>
          <w:rFonts w:ascii="Times New Roman" w:hAnsi="Times New Roman" w:cs="Times New Roman"/>
          <w:sz w:val="24"/>
          <w:szCs w:val="24"/>
        </w:rPr>
        <w:t xml:space="preserve"> </w:t>
      </w:r>
    </w:p>
    <w:p w14:paraId="61F9CC3D" w14:textId="7275850F" w:rsidR="0039390E" w:rsidRPr="00911F48" w:rsidRDefault="0039390E" w:rsidP="009746E7">
      <w:pPr>
        <w:ind w:left="540" w:hanging="540"/>
        <w:rPr>
          <w:rFonts w:ascii="Times New Roman" w:hAnsi="Times New Roman" w:cs="Times New Roman"/>
          <w:sz w:val="24"/>
          <w:szCs w:val="24"/>
        </w:rPr>
      </w:pPr>
    </w:p>
    <w:p w14:paraId="4E458D2B" w14:textId="1E69C51D" w:rsidR="0039390E" w:rsidRDefault="00911F48" w:rsidP="0039390E">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lastRenderedPageBreak/>
        <w:t xml:space="preserve">Zhang, J. 2008. The contracting benefits of accounting conservatism to lenders and borrowers.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45 (1):27-54.</w:t>
      </w:r>
      <w:r w:rsidR="008836A7">
        <w:rPr>
          <w:rFonts w:ascii="Times New Roman" w:hAnsi="Times New Roman" w:cs="Times New Roman"/>
          <w:sz w:val="24"/>
          <w:szCs w:val="24"/>
        </w:rPr>
        <w:t xml:space="preserve"> </w:t>
      </w:r>
    </w:p>
    <w:p w14:paraId="5ABBBAFB" w14:textId="7D27A05F"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404D5A" w14:textId="0D568B6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4C2E90F6" w14:textId="6255A42E"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A88655C" w14:textId="15889DDF"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lastRenderedPageBreak/>
        <w:t>APPENDIX</w:t>
      </w:r>
    </w:p>
    <w:p w14:paraId="36335CE3" w14:textId="14FCF2D5" w:rsid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t>Variable Definitions</w:t>
      </w:r>
    </w:p>
    <w:p w14:paraId="46FC89C1" w14:textId="77777777"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p>
    <w:tbl>
      <w:tblPr>
        <w:tblW w:w="5000" w:type="pct"/>
        <w:tblLook w:val="04A0" w:firstRow="1" w:lastRow="0" w:firstColumn="1" w:lastColumn="0" w:noHBand="0" w:noVBand="1"/>
      </w:tblPr>
      <w:tblGrid>
        <w:gridCol w:w="2319"/>
        <w:gridCol w:w="343"/>
        <w:gridCol w:w="6698"/>
      </w:tblGrid>
      <w:tr w:rsidR="008836A7" w:rsidRPr="005F7C3C" w14:paraId="21FE4B7D" w14:textId="77777777" w:rsidTr="008836A7">
        <w:trPr>
          <w:trHeight w:val="312"/>
        </w:trPr>
        <w:tc>
          <w:tcPr>
            <w:tcW w:w="1239" w:type="pct"/>
            <w:tcBorders>
              <w:top w:val="single" w:sz="4" w:space="0" w:color="auto"/>
              <w:left w:val="nil"/>
              <w:bottom w:val="single" w:sz="4" w:space="0" w:color="auto"/>
              <w:right w:val="nil"/>
            </w:tcBorders>
            <w:shd w:val="clear" w:color="auto" w:fill="auto"/>
            <w:noWrap/>
            <w:hideMark/>
          </w:tcPr>
          <w:p w14:paraId="2CA42155" w14:textId="77777777"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183" w:type="pct"/>
            <w:tcBorders>
              <w:top w:val="single" w:sz="4" w:space="0" w:color="auto"/>
              <w:left w:val="nil"/>
              <w:bottom w:val="single" w:sz="4" w:space="0" w:color="auto"/>
              <w:right w:val="nil"/>
            </w:tcBorders>
            <w:shd w:val="clear" w:color="auto" w:fill="auto"/>
            <w:noWrap/>
            <w:hideMark/>
          </w:tcPr>
          <w:p w14:paraId="2F9F78E5"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3579" w:type="pct"/>
            <w:tcBorders>
              <w:top w:val="single" w:sz="4" w:space="0" w:color="auto"/>
              <w:left w:val="nil"/>
              <w:bottom w:val="single" w:sz="4" w:space="0" w:color="auto"/>
              <w:right w:val="nil"/>
            </w:tcBorders>
            <w:shd w:val="clear" w:color="auto" w:fill="auto"/>
            <w:noWrap/>
            <w:hideMark/>
          </w:tcPr>
          <w:p w14:paraId="13EDB9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Definition</w:t>
            </w:r>
          </w:p>
        </w:tc>
      </w:tr>
      <w:tr w:rsidR="008836A7" w:rsidRPr="005F7C3C" w14:paraId="041DC1D2" w14:textId="77777777" w:rsidTr="008836A7">
        <w:trPr>
          <w:trHeight w:val="300"/>
        </w:trPr>
        <w:tc>
          <w:tcPr>
            <w:tcW w:w="5000" w:type="pct"/>
            <w:gridSpan w:val="3"/>
            <w:tcBorders>
              <w:top w:val="single" w:sz="4" w:space="0" w:color="auto"/>
              <w:left w:val="nil"/>
              <w:bottom w:val="single" w:sz="4" w:space="0" w:color="auto"/>
              <w:right w:val="nil"/>
            </w:tcBorders>
            <w:shd w:val="clear" w:color="auto" w:fill="auto"/>
            <w:noWrap/>
            <w:hideMark/>
          </w:tcPr>
          <w:p w14:paraId="33A2B59B" w14:textId="7679BCBE"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Dependent and Interest Variables</w:t>
            </w:r>
          </w:p>
        </w:tc>
      </w:tr>
      <w:tr w:rsidR="008836A7" w:rsidRPr="005F7C3C" w14:paraId="17188F86" w14:textId="77777777" w:rsidTr="008836A7">
        <w:trPr>
          <w:trHeight w:val="846"/>
        </w:trPr>
        <w:tc>
          <w:tcPr>
            <w:tcW w:w="1239" w:type="pct"/>
            <w:tcBorders>
              <w:top w:val="nil"/>
              <w:left w:val="nil"/>
              <w:bottom w:val="nil"/>
              <w:right w:val="nil"/>
            </w:tcBorders>
            <w:shd w:val="clear" w:color="auto" w:fill="auto"/>
            <w:noWrap/>
            <w:hideMark/>
          </w:tcPr>
          <w:p w14:paraId="04A145D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ΔSPREAD</w:t>
            </w:r>
          </w:p>
        </w:tc>
        <w:tc>
          <w:tcPr>
            <w:tcW w:w="183" w:type="pct"/>
            <w:tcBorders>
              <w:top w:val="nil"/>
              <w:left w:val="nil"/>
              <w:bottom w:val="nil"/>
              <w:right w:val="nil"/>
            </w:tcBorders>
            <w:shd w:val="clear" w:color="auto" w:fill="auto"/>
            <w:noWrap/>
            <w:hideMark/>
          </w:tcPr>
          <w:p w14:paraId="3A013DE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5CB14107"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average relative bid–ask spread, scaled by the midpoint of the bid–ask spread from 30 days before to 30 days after the managers' conference calls, multiply by 100 for readability. </w:t>
            </w:r>
          </w:p>
        </w:tc>
      </w:tr>
      <w:tr w:rsidR="008836A7" w:rsidRPr="005F7C3C" w14:paraId="573C497B" w14:textId="77777777" w:rsidTr="008836A7">
        <w:trPr>
          <w:trHeight w:val="1410"/>
        </w:trPr>
        <w:tc>
          <w:tcPr>
            <w:tcW w:w="1239" w:type="pct"/>
            <w:tcBorders>
              <w:top w:val="nil"/>
              <w:left w:val="nil"/>
              <w:bottom w:val="nil"/>
              <w:right w:val="nil"/>
            </w:tcBorders>
            <w:shd w:val="clear" w:color="auto" w:fill="auto"/>
            <w:noWrap/>
            <w:hideMark/>
          </w:tcPr>
          <w:p w14:paraId="2446C3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ΔAFERROR</w:t>
            </w:r>
          </w:p>
        </w:tc>
        <w:tc>
          <w:tcPr>
            <w:tcW w:w="183" w:type="pct"/>
            <w:tcBorders>
              <w:top w:val="nil"/>
              <w:left w:val="nil"/>
              <w:bottom w:val="nil"/>
              <w:right w:val="nil"/>
            </w:tcBorders>
            <w:shd w:val="clear" w:color="auto" w:fill="auto"/>
            <w:noWrap/>
            <w:hideMark/>
          </w:tcPr>
          <w:p w14:paraId="49C0111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85D1D5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change in analysts' forecast error, measured as measured by (ABS(Actual EPS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)/beginning-of quarter price) - (ABS(Actual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)/beginning-of quarter price), where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 is the median consensus analyst forecast issued within 30 days after (before) the managers' conference calls, multiply by 100 for readability. Actual EPS is the IBES actual. </w:t>
            </w:r>
          </w:p>
        </w:tc>
      </w:tr>
      <w:tr w:rsidR="008836A7" w:rsidRPr="005F7C3C" w14:paraId="192B804F" w14:textId="77777777" w:rsidTr="008836A7">
        <w:trPr>
          <w:trHeight w:val="1410"/>
        </w:trPr>
        <w:tc>
          <w:tcPr>
            <w:tcW w:w="1239" w:type="pct"/>
            <w:tcBorders>
              <w:top w:val="nil"/>
              <w:left w:val="nil"/>
              <w:bottom w:val="nil"/>
              <w:right w:val="nil"/>
            </w:tcBorders>
            <w:shd w:val="clear" w:color="auto" w:fill="auto"/>
            <w:noWrap/>
            <w:hideMark/>
          </w:tcPr>
          <w:p w14:paraId="3EDBE59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ΔAFDISP</w:t>
            </w:r>
          </w:p>
        </w:tc>
        <w:tc>
          <w:tcPr>
            <w:tcW w:w="183" w:type="pct"/>
            <w:tcBorders>
              <w:top w:val="nil"/>
              <w:left w:val="nil"/>
              <w:bottom w:val="nil"/>
              <w:right w:val="nil"/>
            </w:tcBorders>
            <w:shd w:val="clear" w:color="auto" w:fill="auto"/>
            <w:noWrap/>
            <w:hideMark/>
          </w:tcPr>
          <w:p w14:paraId="150315D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32699F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Change in analyst forecast dispersion, defined as the difference in standard deviation of analyst annual earnings forecasts. It is measured by (STD(</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 STD(</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))/beginning-of quarter price, where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is the standard deviation of individual analyst forecasts issued within 30 days after (before) the managers' conference calls.</w:t>
            </w:r>
          </w:p>
        </w:tc>
      </w:tr>
      <w:tr w:rsidR="008836A7" w:rsidRPr="005F7C3C" w14:paraId="2E0C37DE" w14:textId="77777777" w:rsidTr="008836A7">
        <w:trPr>
          <w:trHeight w:val="846"/>
        </w:trPr>
        <w:tc>
          <w:tcPr>
            <w:tcW w:w="1239" w:type="pct"/>
            <w:tcBorders>
              <w:top w:val="nil"/>
              <w:left w:val="nil"/>
              <w:bottom w:val="nil"/>
              <w:right w:val="nil"/>
            </w:tcBorders>
            <w:shd w:val="clear" w:color="auto" w:fill="auto"/>
            <w:noWrap/>
            <w:hideMark/>
          </w:tcPr>
          <w:p w14:paraId="34E610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FWDLOOK(Present)</w:t>
            </w:r>
          </w:p>
        </w:tc>
        <w:tc>
          <w:tcPr>
            <w:tcW w:w="183" w:type="pct"/>
            <w:tcBorders>
              <w:top w:val="nil"/>
              <w:left w:val="nil"/>
              <w:bottom w:val="nil"/>
              <w:right w:val="nil"/>
            </w:tcBorders>
            <w:shd w:val="clear" w:color="auto" w:fill="auto"/>
            <w:noWrap/>
            <w:hideMark/>
          </w:tcPr>
          <w:p w14:paraId="79158706"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9E9EBE9"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presentation of the call. I classify sentences in the call as forward-looking sentences if they include at least one forward-looking term, following Li (2010) and </w:t>
            </w:r>
            <w:proofErr w:type="spellStart"/>
            <w:r w:rsidRPr="005F7C3C">
              <w:rPr>
                <w:rFonts w:ascii="Times New Roman" w:eastAsia="Times New Roman" w:hAnsi="Times New Roman" w:cs="Times New Roman"/>
                <w:color w:val="000000"/>
              </w:rPr>
              <w:t>Bozanic</w:t>
            </w:r>
            <w:proofErr w:type="spellEnd"/>
            <w:r w:rsidRPr="005F7C3C">
              <w:rPr>
                <w:rFonts w:ascii="Times New Roman" w:eastAsia="Times New Roman" w:hAnsi="Times New Roman" w:cs="Times New Roman"/>
                <w:color w:val="000000"/>
              </w:rPr>
              <w:t xml:space="preserve"> et al. (2018). </w:t>
            </w:r>
          </w:p>
        </w:tc>
      </w:tr>
      <w:tr w:rsidR="008836A7" w:rsidRPr="005F7C3C" w14:paraId="72E8FF4C" w14:textId="77777777" w:rsidTr="008836A7">
        <w:trPr>
          <w:trHeight w:val="564"/>
        </w:trPr>
        <w:tc>
          <w:tcPr>
            <w:tcW w:w="1239" w:type="pct"/>
            <w:tcBorders>
              <w:top w:val="nil"/>
              <w:left w:val="nil"/>
              <w:bottom w:val="nil"/>
              <w:right w:val="nil"/>
            </w:tcBorders>
            <w:shd w:val="clear" w:color="auto" w:fill="auto"/>
            <w:noWrap/>
            <w:hideMark/>
          </w:tcPr>
          <w:p w14:paraId="25C7FA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FWDLOOK(Response)</w:t>
            </w:r>
          </w:p>
        </w:tc>
        <w:tc>
          <w:tcPr>
            <w:tcW w:w="183" w:type="pct"/>
            <w:tcBorders>
              <w:top w:val="nil"/>
              <w:left w:val="nil"/>
              <w:bottom w:val="nil"/>
              <w:right w:val="nil"/>
            </w:tcBorders>
            <w:shd w:val="clear" w:color="auto" w:fill="auto"/>
            <w:noWrap/>
            <w:hideMark/>
          </w:tcPr>
          <w:p w14:paraId="03E3777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86C042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response of the call. </w:t>
            </w:r>
          </w:p>
        </w:tc>
      </w:tr>
      <w:tr w:rsidR="008836A7" w:rsidRPr="005F7C3C" w14:paraId="3AFD9212" w14:textId="77777777" w:rsidTr="008836A7">
        <w:trPr>
          <w:trHeight w:val="564"/>
        </w:trPr>
        <w:tc>
          <w:tcPr>
            <w:tcW w:w="1239" w:type="pct"/>
            <w:tcBorders>
              <w:top w:val="nil"/>
              <w:left w:val="nil"/>
              <w:bottom w:val="nil"/>
              <w:right w:val="nil"/>
            </w:tcBorders>
            <w:shd w:val="clear" w:color="000000" w:fill="FFFFFF"/>
            <w:noWrap/>
            <w:hideMark/>
          </w:tcPr>
          <w:p w14:paraId="6F96F55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w:t>
            </w:r>
          </w:p>
        </w:tc>
        <w:tc>
          <w:tcPr>
            <w:tcW w:w="183" w:type="pct"/>
            <w:tcBorders>
              <w:top w:val="nil"/>
              <w:left w:val="nil"/>
              <w:bottom w:val="nil"/>
              <w:right w:val="nil"/>
            </w:tcBorders>
            <w:shd w:val="clear" w:color="000000" w:fill="FFFFFF"/>
            <w:noWrap/>
            <w:hideMark/>
          </w:tcPr>
          <w:p w14:paraId="0D4F69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000000" w:fill="FFFFFF"/>
            <w:hideMark/>
          </w:tcPr>
          <w:p w14:paraId="3A8FD57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 composite </w:t>
            </w:r>
            <w:proofErr w:type="gramStart"/>
            <w:r w:rsidRPr="005F7C3C">
              <w:rPr>
                <w:rFonts w:ascii="Times New Roman" w:eastAsia="Times New Roman" w:hAnsi="Times New Roman" w:cs="Times New Roman"/>
                <w:color w:val="000000"/>
              </w:rPr>
              <w:t>forward looking</w:t>
            </w:r>
            <w:proofErr w:type="gramEnd"/>
            <w:r w:rsidRPr="005F7C3C">
              <w:rPr>
                <w:rFonts w:ascii="Times New Roman" w:eastAsia="Times New Roman" w:hAnsi="Times New Roman" w:cs="Times New Roman"/>
                <w:color w:val="000000"/>
              </w:rPr>
              <w:t xml:space="preserve"> measure based on the principal component analysis on the </w:t>
            </w:r>
            <w:r w:rsidRPr="005F7C3C">
              <w:rPr>
                <w:rFonts w:ascii="Times New Roman" w:eastAsia="Times New Roman" w:hAnsi="Times New Roman" w:cs="Times New Roman"/>
                <w:i/>
                <w:iCs/>
                <w:color w:val="000000"/>
              </w:rPr>
              <w:t>FWDLOOK(Present)</w:t>
            </w:r>
            <w:r w:rsidRPr="005F7C3C">
              <w:rPr>
                <w:rFonts w:ascii="Times New Roman" w:eastAsia="Times New Roman" w:hAnsi="Times New Roman" w:cs="Times New Roman"/>
                <w:color w:val="000000"/>
              </w:rPr>
              <w:t xml:space="preserve"> and </w:t>
            </w:r>
            <w:r w:rsidRPr="005F7C3C">
              <w:rPr>
                <w:rFonts w:ascii="Times New Roman" w:eastAsia="Times New Roman" w:hAnsi="Times New Roman" w:cs="Times New Roman"/>
                <w:i/>
                <w:iCs/>
                <w:color w:val="000000"/>
              </w:rPr>
              <w:t>FWDLOOK(Response)</w:t>
            </w:r>
            <w:r w:rsidRPr="005F7C3C">
              <w:rPr>
                <w:rFonts w:ascii="Times New Roman" w:eastAsia="Times New Roman" w:hAnsi="Times New Roman" w:cs="Times New Roman"/>
                <w:color w:val="000000"/>
              </w:rPr>
              <w:t>.</w:t>
            </w:r>
          </w:p>
        </w:tc>
      </w:tr>
      <w:tr w:rsidR="008836A7" w:rsidRPr="005F7C3C" w14:paraId="41B94C9A" w14:textId="77777777" w:rsidTr="008836A7">
        <w:trPr>
          <w:trHeight w:val="2448"/>
        </w:trPr>
        <w:tc>
          <w:tcPr>
            <w:tcW w:w="1239" w:type="pct"/>
            <w:tcBorders>
              <w:top w:val="nil"/>
              <w:left w:val="nil"/>
              <w:bottom w:val="nil"/>
              <w:right w:val="nil"/>
            </w:tcBorders>
            <w:shd w:val="clear" w:color="auto" w:fill="auto"/>
            <w:noWrap/>
            <w:hideMark/>
          </w:tcPr>
          <w:p w14:paraId="2CD993D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183" w:type="pct"/>
            <w:tcBorders>
              <w:top w:val="nil"/>
              <w:left w:val="nil"/>
              <w:bottom w:val="nil"/>
              <w:right w:val="nil"/>
            </w:tcBorders>
            <w:shd w:val="clear" w:color="auto" w:fill="auto"/>
            <w:noWrap/>
            <w:hideMark/>
          </w:tcPr>
          <w:p w14:paraId="32091D4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2B62BC1" w14:textId="3A3E7902"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estimate of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color w:val="000000"/>
              </w:rPr>
              <w:t>)/</w:t>
            </w:r>
            <w:r w:rsidRPr="005F7C3C">
              <w:rPr>
                <w:rFonts w:ascii="Symbol" w:eastAsia="Times New Roman" w:hAnsi="Symbol" w:cs="Times New Roman"/>
                <w:i/>
                <w:iCs/>
                <w:color w:val="000000"/>
              </w:rPr>
              <w:t></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w:t>
            </w:r>
            <w:r w:rsidRPr="005F7C3C">
              <w:rPr>
                <w:rFonts w:ascii="Times New Roman" w:eastAsia="Times New Roman" w:hAnsi="Times New Roman" w:cs="Times New Roman"/>
                <w:i/>
                <w:iCs/>
                <w:color w:val="000000"/>
                <w:vertAlign w:val="subscript"/>
              </w:rPr>
              <w:t xml:space="preserve"> </w:t>
            </w:r>
            <w:r w:rsidRPr="005F7C3C">
              <w:rPr>
                <w:rFonts w:ascii="Times New Roman" w:eastAsia="Times New Roman" w:hAnsi="Times New Roman" w:cs="Times New Roman"/>
                <w:color w:val="000000"/>
              </w:rPr>
              <w:t xml:space="preserve">from the firm-specific earnings-returns regression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1</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2</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 xml:space="preserve">i </w:t>
            </w:r>
            <w:r w:rsidRPr="005F7C3C">
              <w:rPr>
                <w:rFonts w:ascii="Times New Roman" w:eastAsia="Times New Roman" w:hAnsi="Times New Roman" w:cs="Times New Roman"/>
                <w:i/>
                <w:iCs/>
                <w:color w:val="000000"/>
              </w:rPr>
              <w:t xml:space="preserve">+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proofErr w:type="spellStart"/>
            <w:r w:rsidRPr="005F7C3C">
              <w:rPr>
                <w:rFonts w:ascii="Times New Roman" w:eastAsia="Times New Roman" w:hAnsi="Times New Roman" w:cs="Times New Roman"/>
                <w:i/>
                <w:iCs/>
                <w:color w:val="000000"/>
              </w:rPr>
              <w:t>ε</w:t>
            </w:r>
            <w:r w:rsidRPr="005F7C3C">
              <w:rPr>
                <w:rFonts w:ascii="Times New Roman" w:eastAsia="Times New Roman" w:hAnsi="Times New Roman" w:cs="Times New Roman"/>
                <w:i/>
                <w:iCs/>
                <w:color w:val="000000"/>
                <w:vertAlign w:val="subscript"/>
              </w:rPr>
              <w:t>i</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Basu</w:t>
            </w:r>
            <w:proofErr w:type="spellEnd"/>
            <w:r w:rsidRPr="005F7C3C">
              <w:rPr>
                <w:rFonts w:ascii="Times New Roman" w:eastAsia="Times New Roman" w:hAnsi="Times New Roman" w:cs="Times New Roman"/>
                <w:color w:val="000000"/>
              </w:rPr>
              <w:t xml:space="preserve">, 1997), where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net income before extraordinary items (</w:t>
            </w:r>
            <w:proofErr w:type="spellStart"/>
            <w:r w:rsidRPr="005F7C3C">
              <w:rPr>
                <w:rFonts w:ascii="Times New Roman" w:eastAsia="Times New Roman" w:hAnsi="Times New Roman" w:cs="Times New Roman"/>
                <w:color w:val="000000"/>
              </w:rPr>
              <w:t>Compustat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ib</w:t>
            </w:r>
            <w:proofErr w:type="spellEnd"/>
            <w:r w:rsidRPr="005F7C3C">
              <w:rPr>
                <w:rFonts w:ascii="Times New Roman" w:eastAsia="Times New Roman" w:hAnsi="Times New Roman" w:cs="Times New Roman"/>
                <w:color w:val="000000"/>
              </w:rPr>
              <w:t>”)</w:t>
            </w:r>
            <w:r w:rsidR="00CB37E2">
              <w:rPr>
                <w:rFonts w:ascii="Times New Roman" w:eastAsia="Times New Roman" w:hAnsi="Times New Roman" w:cs="Times New Roman"/>
                <w:color w:val="000000"/>
              </w:rPr>
              <w:t xml:space="preserve"> </w:t>
            </w:r>
            <w:r w:rsidRPr="005F7C3C">
              <w:rPr>
                <w:rFonts w:ascii="Times New Roman" w:eastAsia="Times New Roman" w:hAnsi="Times New Roman" w:cs="Times New Roman"/>
                <w:color w:val="000000"/>
              </w:rPr>
              <w:t xml:space="preserve">for firm </w:t>
            </w:r>
            <w:proofErr w:type="spellStart"/>
            <w:r w:rsidRPr="005F7C3C">
              <w:rPr>
                <w:rFonts w:ascii="Times New Roman" w:eastAsia="Times New Roman" w:hAnsi="Times New Roman" w:cs="Times New Roman"/>
                <w:i/>
                <w:iCs/>
                <w:color w:val="000000"/>
              </w:rPr>
              <w:t>i</w:t>
            </w:r>
            <w:proofErr w:type="spellEnd"/>
            <w:r w:rsidRPr="005F7C3C">
              <w:rPr>
                <w:rFonts w:ascii="Times New Roman" w:eastAsia="Times New Roman" w:hAnsi="Times New Roman" w:cs="Times New Roman"/>
                <w:color w:val="000000"/>
              </w:rPr>
              <w:t xml:space="preserve">, scaled by lagged market value of equity;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’s market-adjusted compound stock return over the 12-month period ending at the fiscal year end; and </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a dichotomous variable defined as one if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negative, and as zero otherwise. We estimate the model for each sample firm individually using as many (with a minimum of seven) years of time-series data as are available up to the current year.  </w:t>
            </w:r>
          </w:p>
        </w:tc>
      </w:tr>
      <w:tr w:rsidR="008836A7" w:rsidRPr="005F7C3C" w14:paraId="6E9C7AFA" w14:textId="77777777" w:rsidTr="008836A7">
        <w:trPr>
          <w:trHeight w:val="564"/>
        </w:trPr>
        <w:tc>
          <w:tcPr>
            <w:tcW w:w="1239" w:type="pct"/>
            <w:tcBorders>
              <w:top w:val="nil"/>
              <w:left w:val="nil"/>
              <w:bottom w:val="nil"/>
              <w:right w:val="nil"/>
            </w:tcBorders>
            <w:shd w:val="clear" w:color="auto" w:fill="auto"/>
            <w:noWrap/>
            <w:hideMark/>
          </w:tcPr>
          <w:p w14:paraId="7CBC805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183" w:type="pct"/>
            <w:tcBorders>
              <w:top w:val="nil"/>
              <w:left w:val="nil"/>
              <w:bottom w:val="nil"/>
              <w:right w:val="nil"/>
            </w:tcBorders>
            <w:shd w:val="clear" w:color="auto" w:fill="auto"/>
            <w:noWrap/>
            <w:hideMark/>
          </w:tcPr>
          <w:p w14:paraId="669485FC"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AE50277" w14:textId="5130604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Non-operating accruals divided by the average total assets, which is then averaged over a three-year period and multiplied by ‒1. </w:t>
            </w:r>
          </w:p>
        </w:tc>
      </w:tr>
      <w:tr w:rsidR="008836A7" w:rsidRPr="005F7C3C" w14:paraId="5C946FE1" w14:textId="77777777" w:rsidTr="008836A7">
        <w:trPr>
          <w:trHeight w:val="1128"/>
        </w:trPr>
        <w:tc>
          <w:tcPr>
            <w:tcW w:w="1239" w:type="pct"/>
            <w:tcBorders>
              <w:top w:val="nil"/>
              <w:left w:val="nil"/>
              <w:bottom w:val="nil"/>
              <w:right w:val="nil"/>
            </w:tcBorders>
            <w:shd w:val="clear" w:color="auto" w:fill="auto"/>
            <w:noWrap/>
            <w:hideMark/>
          </w:tcPr>
          <w:p w14:paraId="0426AA7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183" w:type="pct"/>
            <w:tcBorders>
              <w:top w:val="nil"/>
              <w:left w:val="nil"/>
              <w:bottom w:val="nil"/>
              <w:right w:val="nil"/>
            </w:tcBorders>
            <w:shd w:val="clear" w:color="auto" w:fill="auto"/>
            <w:noWrap/>
            <w:hideMark/>
          </w:tcPr>
          <w:p w14:paraId="5A65F1B1"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3F5ED1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ratio of current earnings shocks to earnings news developed by Callen et al. (2010). Current earnings shocks and earnings news are estimated based on a parsimonious vector autoregressive (VAR) model with three state variables consisting of log of stock returns, log of 1 plus return on equity, and log of book-to-market ratio.</w:t>
            </w:r>
          </w:p>
        </w:tc>
      </w:tr>
      <w:tr w:rsidR="008836A7" w:rsidRPr="005F7C3C" w14:paraId="7C40AC93" w14:textId="77777777" w:rsidTr="008836A7">
        <w:trPr>
          <w:trHeight w:val="564"/>
        </w:trPr>
        <w:tc>
          <w:tcPr>
            <w:tcW w:w="1239" w:type="pct"/>
            <w:tcBorders>
              <w:top w:val="nil"/>
              <w:left w:val="nil"/>
              <w:bottom w:val="nil"/>
              <w:right w:val="nil"/>
            </w:tcBorders>
            <w:shd w:val="clear" w:color="auto" w:fill="auto"/>
            <w:noWrap/>
            <w:hideMark/>
          </w:tcPr>
          <w:p w14:paraId="4594E840"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c>
          <w:tcPr>
            <w:tcW w:w="183" w:type="pct"/>
            <w:tcBorders>
              <w:top w:val="nil"/>
              <w:left w:val="nil"/>
              <w:bottom w:val="nil"/>
              <w:right w:val="nil"/>
            </w:tcBorders>
            <w:shd w:val="clear" w:color="auto" w:fill="auto"/>
            <w:noWrap/>
            <w:hideMark/>
          </w:tcPr>
          <w:p w14:paraId="7C9EAD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E638DB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 composite conservatism measure based on the principal component analysis on the above three individual measures of accounting conservatism.</w:t>
            </w:r>
          </w:p>
        </w:tc>
      </w:tr>
      <w:tr w:rsidR="008836A7" w:rsidRPr="005F7C3C" w14:paraId="5C851B9C" w14:textId="77777777" w:rsidTr="008836A7">
        <w:trPr>
          <w:trHeight w:val="564"/>
        </w:trPr>
        <w:tc>
          <w:tcPr>
            <w:tcW w:w="1239" w:type="pct"/>
            <w:tcBorders>
              <w:top w:val="nil"/>
              <w:left w:val="nil"/>
              <w:bottom w:val="nil"/>
              <w:right w:val="nil"/>
            </w:tcBorders>
            <w:shd w:val="clear" w:color="auto" w:fill="auto"/>
            <w:noWrap/>
            <w:hideMark/>
          </w:tcPr>
          <w:p w14:paraId="5829706C"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R&amp;D</w:t>
            </w:r>
          </w:p>
        </w:tc>
        <w:tc>
          <w:tcPr>
            <w:tcW w:w="183" w:type="pct"/>
            <w:tcBorders>
              <w:top w:val="nil"/>
              <w:left w:val="nil"/>
              <w:bottom w:val="nil"/>
              <w:right w:val="nil"/>
            </w:tcBorders>
            <w:shd w:val="clear" w:color="auto" w:fill="auto"/>
            <w:noWrap/>
            <w:hideMark/>
          </w:tcPr>
          <w:p w14:paraId="48CAC42A"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5D44C7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Research and development expenditure divided by total assets at the end of year prior to the conference call. </w:t>
            </w:r>
          </w:p>
        </w:tc>
      </w:tr>
      <w:tr w:rsidR="008836A7" w:rsidRPr="005F7C3C" w14:paraId="70DF81D4" w14:textId="77777777" w:rsidTr="008836A7">
        <w:trPr>
          <w:trHeight w:val="1128"/>
        </w:trPr>
        <w:tc>
          <w:tcPr>
            <w:tcW w:w="1239" w:type="pct"/>
            <w:tcBorders>
              <w:top w:val="nil"/>
              <w:left w:val="nil"/>
              <w:bottom w:val="nil"/>
              <w:right w:val="nil"/>
            </w:tcBorders>
            <w:shd w:val="clear" w:color="auto" w:fill="auto"/>
            <w:noWrap/>
            <w:hideMark/>
          </w:tcPr>
          <w:p w14:paraId="79810EFA" w14:textId="77777777" w:rsidR="008836A7" w:rsidRPr="005F7C3C" w:rsidRDefault="008836A7" w:rsidP="008836A7">
            <w:pPr>
              <w:rPr>
                <w:rFonts w:ascii="Times New Roman" w:eastAsia="Times New Roman" w:hAnsi="Times New Roman" w:cs="Times New Roman"/>
                <w:b/>
                <w:bCs/>
                <w:i/>
                <w:iCs/>
                <w:color w:val="000000"/>
              </w:rPr>
            </w:pPr>
            <w:proofErr w:type="spellStart"/>
            <w:r w:rsidRPr="005F7C3C">
              <w:rPr>
                <w:rFonts w:ascii="Times New Roman" w:eastAsia="Times New Roman" w:hAnsi="Times New Roman" w:cs="Times New Roman"/>
                <w:b/>
                <w:bCs/>
                <w:i/>
                <w:iCs/>
                <w:color w:val="000000"/>
              </w:rPr>
              <w:t>TobinQ</w:t>
            </w:r>
            <w:proofErr w:type="spellEnd"/>
          </w:p>
        </w:tc>
        <w:tc>
          <w:tcPr>
            <w:tcW w:w="183" w:type="pct"/>
            <w:tcBorders>
              <w:top w:val="nil"/>
              <w:left w:val="nil"/>
              <w:bottom w:val="nil"/>
              <w:right w:val="nil"/>
            </w:tcBorders>
            <w:shd w:val="clear" w:color="auto" w:fill="auto"/>
            <w:noWrap/>
            <w:hideMark/>
          </w:tcPr>
          <w:p w14:paraId="67288ED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9FBEDD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Market value of assets divided by the book value of assets, where the market value of assets is computed as the book value of assets plus the market value of equity less the sum of the book value of equity and balance sheet deferred taxes, at the end of year prior to the conference call. </w:t>
            </w:r>
          </w:p>
        </w:tc>
      </w:tr>
      <w:tr w:rsidR="008836A7" w:rsidRPr="005F7C3C" w14:paraId="7E1A5E55" w14:textId="77777777" w:rsidTr="008836A7">
        <w:trPr>
          <w:trHeight w:val="564"/>
        </w:trPr>
        <w:tc>
          <w:tcPr>
            <w:tcW w:w="1239" w:type="pct"/>
            <w:tcBorders>
              <w:top w:val="nil"/>
              <w:left w:val="nil"/>
              <w:bottom w:val="nil"/>
              <w:right w:val="nil"/>
            </w:tcBorders>
            <w:shd w:val="clear" w:color="auto" w:fill="auto"/>
            <w:noWrap/>
            <w:hideMark/>
          </w:tcPr>
          <w:p w14:paraId="49849B7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INST_OWN</w:t>
            </w:r>
          </w:p>
        </w:tc>
        <w:tc>
          <w:tcPr>
            <w:tcW w:w="183" w:type="pct"/>
            <w:tcBorders>
              <w:top w:val="nil"/>
              <w:left w:val="nil"/>
              <w:bottom w:val="nil"/>
              <w:right w:val="nil"/>
            </w:tcBorders>
            <w:shd w:val="clear" w:color="auto" w:fill="auto"/>
            <w:noWrap/>
            <w:hideMark/>
          </w:tcPr>
          <w:p w14:paraId="7F4D5BB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943864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percentage of institutional ownership at the beginning of the fiscal year end, prior to the conference call disclosure. </w:t>
            </w:r>
          </w:p>
          <w:p w14:paraId="55C4E88D" w14:textId="7794245A" w:rsidR="008836A7" w:rsidRPr="005F7C3C" w:rsidRDefault="008836A7" w:rsidP="008836A7">
            <w:pPr>
              <w:rPr>
                <w:rFonts w:ascii="Times New Roman" w:eastAsia="Times New Roman" w:hAnsi="Times New Roman" w:cs="Times New Roman"/>
                <w:color w:val="000000"/>
              </w:rPr>
            </w:pPr>
          </w:p>
        </w:tc>
      </w:tr>
      <w:tr w:rsidR="008836A7" w:rsidRPr="005F7C3C" w14:paraId="610494C9" w14:textId="77777777" w:rsidTr="008836A7">
        <w:trPr>
          <w:trHeight w:val="342"/>
        </w:trPr>
        <w:tc>
          <w:tcPr>
            <w:tcW w:w="5000" w:type="pct"/>
            <w:gridSpan w:val="3"/>
            <w:tcBorders>
              <w:top w:val="nil"/>
              <w:left w:val="nil"/>
              <w:bottom w:val="single" w:sz="4" w:space="0" w:color="auto"/>
              <w:right w:val="nil"/>
            </w:tcBorders>
            <w:shd w:val="clear" w:color="auto" w:fill="auto"/>
            <w:noWrap/>
            <w:hideMark/>
          </w:tcPr>
          <w:p w14:paraId="54A1DF6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Independent and Control Variables</w:t>
            </w:r>
          </w:p>
        </w:tc>
      </w:tr>
      <w:tr w:rsidR="008836A7" w:rsidRPr="005F7C3C" w14:paraId="78F37BC4" w14:textId="77777777" w:rsidTr="008836A7">
        <w:trPr>
          <w:trHeight w:val="564"/>
        </w:trPr>
        <w:tc>
          <w:tcPr>
            <w:tcW w:w="1239" w:type="pct"/>
            <w:tcBorders>
              <w:top w:val="nil"/>
              <w:left w:val="nil"/>
              <w:bottom w:val="nil"/>
              <w:right w:val="nil"/>
            </w:tcBorders>
            <w:shd w:val="clear" w:color="auto" w:fill="auto"/>
            <w:noWrap/>
            <w:hideMark/>
          </w:tcPr>
          <w:p w14:paraId="07CCD47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SIZE</w:t>
            </w:r>
          </w:p>
        </w:tc>
        <w:tc>
          <w:tcPr>
            <w:tcW w:w="183" w:type="pct"/>
            <w:tcBorders>
              <w:top w:val="nil"/>
              <w:left w:val="nil"/>
              <w:bottom w:val="nil"/>
              <w:right w:val="nil"/>
            </w:tcBorders>
            <w:shd w:val="clear" w:color="auto" w:fill="auto"/>
            <w:noWrap/>
            <w:hideMark/>
          </w:tcPr>
          <w:p w14:paraId="57FF8CDB"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1CB8D2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natural log value of the market value of equity at the end of the year prior to the conference call. </w:t>
            </w:r>
          </w:p>
        </w:tc>
      </w:tr>
      <w:tr w:rsidR="008836A7" w:rsidRPr="005F7C3C" w14:paraId="5F04BC8E" w14:textId="77777777" w:rsidTr="008836A7">
        <w:trPr>
          <w:trHeight w:val="564"/>
        </w:trPr>
        <w:tc>
          <w:tcPr>
            <w:tcW w:w="1239" w:type="pct"/>
            <w:tcBorders>
              <w:top w:val="nil"/>
              <w:left w:val="nil"/>
              <w:bottom w:val="nil"/>
              <w:right w:val="nil"/>
            </w:tcBorders>
            <w:shd w:val="clear" w:color="auto" w:fill="auto"/>
            <w:noWrap/>
            <w:hideMark/>
          </w:tcPr>
          <w:p w14:paraId="2FE003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MTB</w:t>
            </w:r>
          </w:p>
        </w:tc>
        <w:tc>
          <w:tcPr>
            <w:tcW w:w="183" w:type="pct"/>
            <w:tcBorders>
              <w:top w:val="nil"/>
              <w:left w:val="nil"/>
              <w:bottom w:val="nil"/>
              <w:right w:val="nil"/>
            </w:tcBorders>
            <w:shd w:val="clear" w:color="auto" w:fill="auto"/>
            <w:noWrap/>
            <w:hideMark/>
          </w:tcPr>
          <w:p w14:paraId="3FF4C749"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C8E028E"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market value of equity divided by book value of equity at the end of year prior to the conference call. </w:t>
            </w:r>
          </w:p>
        </w:tc>
      </w:tr>
      <w:tr w:rsidR="008836A7" w:rsidRPr="005F7C3C" w14:paraId="58D9B1A9" w14:textId="77777777" w:rsidTr="008836A7">
        <w:trPr>
          <w:trHeight w:val="564"/>
        </w:trPr>
        <w:tc>
          <w:tcPr>
            <w:tcW w:w="1239" w:type="pct"/>
            <w:tcBorders>
              <w:top w:val="nil"/>
              <w:left w:val="nil"/>
              <w:bottom w:val="nil"/>
              <w:right w:val="nil"/>
            </w:tcBorders>
            <w:shd w:val="clear" w:color="auto" w:fill="auto"/>
            <w:noWrap/>
            <w:hideMark/>
          </w:tcPr>
          <w:p w14:paraId="53C26B8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LEV</w:t>
            </w:r>
          </w:p>
        </w:tc>
        <w:tc>
          <w:tcPr>
            <w:tcW w:w="183" w:type="pct"/>
            <w:tcBorders>
              <w:top w:val="nil"/>
              <w:left w:val="nil"/>
              <w:bottom w:val="nil"/>
              <w:right w:val="nil"/>
            </w:tcBorders>
            <w:shd w:val="clear" w:color="auto" w:fill="auto"/>
            <w:noWrap/>
            <w:hideMark/>
          </w:tcPr>
          <w:p w14:paraId="64A4E380"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4B8993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Leverage ratio, the book value of short term and </w:t>
            </w:r>
            <w:proofErr w:type="gramStart"/>
            <w:r w:rsidRPr="005F7C3C">
              <w:rPr>
                <w:rFonts w:ascii="Times New Roman" w:eastAsia="Times New Roman" w:hAnsi="Times New Roman" w:cs="Times New Roman"/>
                <w:color w:val="000000"/>
              </w:rPr>
              <w:t>long term</w:t>
            </w:r>
            <w:proofErr w:type="gramEnd"/>
            <w:r w:rsidRPr="005F7C3C">
              <w:rPr>
                <w:rFonts w:ascii="Times New Roman" w:eastAsia="Times New Roman" w:hAnsi="Times New Roman" w:cs="Times New Roman"/>
                <w:color w:val="000000"/>
              </w:rPr>
              <w:t xml:space="preserve"> debt divided by the book value of total assets at the end of year prior to the conference call. </w:t>
            </w:r>
          </w:p>
        </w:tc>
      </w:tr>
      <w:tr w:rsidR="008836A7" w:rsidRPr="005F7C3C" w14:paraId="0F9FE746" w14:textId="77777777" w:rsidTr="008836A7">
        <w:trPr>
          <w:trHeight w:val="564"/>
        </w:trPr>
        <w:tc>
          <w:tcPr>
            <w:tcW w:w="1239" w:type="pct"/>
            <w:tcBorders>
              <w:top w:val="nil"/>
              <w:left w:val="nil"/>
              <w:bottom w:val="nil"/>
              <w:right w:val="nil"/>
            </w:tcBorders>
            <w:shd w:val="clear" w:color="auto" w:fill="auto"/>
            <w:noWrap/>
            <w:hideMark/>
          </w:tcPr>
          <w:p w14:paraId="32817776"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FIRMAGE</w:t>
            </w:r>
          </w:p>
        </w:tc>
        <w:tc>
          <w:tcPr>
            <w:tcW w:w="183" w:type="pct"/>
            <w:tcBorders>
              <w:top w:val="nil"/>
              <w:left w:val="nil"/>
              <w:bottom w:val="nil"/>
              <w:right w:val="nil"/>
            </w:tcBorders>
            <w:shd w:val="clear" w:color="auto" w:fill="auto"/>
            <w:noWrap/>
            <w:hideMark/>
          </w:tcPr>
          <w:p w14:paraId="2BD0C641"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352840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natural log value of the firm’s age at the end of year prior to the conference call, measured as the number of years a firm has been listed on CRSP.</w:t>
            </w:r>
          </w:p>
        </w:tc>
      </w:tr>
      <w:tr w:rsidR="008836A7" w:rsidRPr="005F7C3C" w14:paraId="1274B69C" w14:textId="77777777" w:rsidTr="008836A7">
        <w:trPr>
          <w:trHeight w:val="564"/>
        </w:trPr>
        <w:tc>
          <w:tcPr>
            <w:tcW w:w="1239" w:type="pct"/>
            <w:tcBorders>
              <w:top w:val="nil"/>
              <w:left w:val="nil"/>
              <w:bottom w:val="nil"/>
              <w:right w:val="nil"/>
            </w:tcBorders>
            <w:shd w:val="clear" w:color="auto" w:fill="auto"/>
            <w:noWrap/>
            <w:hideMark/>
          </w:tcPr>
          <w:p w14:paraId="04781D0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INVCYC</w:t>
            </w:r>
          </w:p>
        </w:tc>
        <w:tc>
          <w:tcPr>
            <w:tcW w:w="183" w:type="pct"/>
            <w:tcBorders>
              <w:top w:val="nil"/>
              <w:left w:val="nil"/>
              <w:bottom w:val="nil"/>
              <w:right w:val="nil"/>
            </w:tcBorders>
            <w:shd w:val="clear" w:color="auto" w:fill="auto"/>
            <w:noWrap/>
            <w:hideMark/>
          </w:tcPr>
          <w:p w14:paraId="0EFE9A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8676AB0" w14:textId="77777777" w:rsidR="008836A7" w:rsidRPr="005F7C3C" w:rsidRDefault="008836A7" w:rsidP="008836A7">
            <w:pPr>
              <w:rPr>
                <w:rFonts w:ascii="Times New Roman" w:eastAsia="Times New Roman" w:hAnsi="Times New Roman" w:cs="Times New Roman"/>
                <w:color w:val="000000"/>
              </w:rPr>
            </w:pPr>
            <w:proofErr w:type="gramStart"/>
            <w:r w:rsidRPr="005F7C3C">
              <w:rPr>
                <w:rFonts w:ascii="Times New Roman" w:eastAsia="Times New Roman" w:hAnsi="Times New Roman" w:cs="Times New Roman"/>
                <w:color w:val="000000"/>
              </w:rPr>
              <w:t>Investment cycle,</w:t>
            </w:r>
            <w:proofErr w:type="gramEnd"/>
            <w:r w:rsidRPr="005F7C3C">
              <w:rPr>
                <w:rFonts w:ascii="Times New Roman" w:eastAsia="Times New Roman" w:hAnsi="Times New Roman" w:cs="Times New Roman"/>
                <w:color w:val="000000"/>
              </w:rPr>
              <w:t xml:space="preserve"> measured as depreciation expense scaled by total assets at the end of year prior to the conference call. </w:t>
            </w:r>
          </w:p>
        </w:tc>
      </w:tr>
      <w:tr w:rsidR="008836A7" w:rsidRPr="005F7C3C" w14:paraId="6434A0B3" w14:textId="77777777" w:rsidTr="008836A7">
        <w:trPr>
          <w:trHeight w:val="564"/>
        </w:trPr>
        <w:tc>
          <w:tcPr>
            <w:tcW w:w="1239" w:type="pct"/>
            <w:tcBorders>
              <w:top w:val="nil"/>
              <w:left w:val="nil"/>
              <w:bottom w:val="nil"/>
              <w:right w:val="nil"/>
            </w:tcBorders>
            <w:shd w:val="clear" w:color="auto" w:fill="auto"/>
            <w:noWrap/>
            <w:hideMark/>
          </w:tcPr>
          <w:p w14:paraId="228E3BE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AFN</w:t>
            </w:r>
          </w:p>
        </w:tc>
        <w:tc>
          <w:tcPr>
            <w:tcW w:w="183" w:type="pct"/>
            <w:tcBorders>
              <w:top w:val="nil"/>
              <w:left w:val="nil"/>
              <w:bottom w:val="nil"/>
              <w:right w:val="nil"/>
            </w:tcBorders>
            <w:shd w:val="clear" w:color="auto" w:fill="auto"/>
            <w:noWrap/>
            <w:hideMark/>
          </w:tcPr>
          <w:p w14:paraId="459C5CA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1A9BC08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analysts following at the end of the fiscal quarter, prior to the conference call disclosure. </w:t>
            </w:r>
          </w:p>
        </w:tc>
      </w:tr>
      <w:tr w:rsidR="008836A7" w:rsidRPr="005F7C3C" w14:paraId="5809D486" w14:textId="77777777" w:rsidTr="008836A7">
        <w:trPr>
          <w:trHeight w:val="564"/>
        </w:trPr>
        <w:tc>
          <w:tcPr>
            <w:tcW w:w="1239" w:type="pct"/>
            <w:tcBorders>
              <w:top w:val="nil"/>
              <w:left w:val="nil"/>
              <w:bottom w:val="nil"/>
              <w:right w:val="nil"/>
            </w:tcBorders>
            <w:shd w:val="clear" w:color="auto" w:fill="auto"/>
            <w:noWrap/>
            <w:hideMark/>
          </w:tcPr>
          <w:p w14:paraId="5205E7B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LITIG</w:t>
            </w:r>
          </w:p>
        </w:tc>
        <w:tc>
          <w:tcPr>
            <w:tcW w:w="183" w:type="pct"/>
            <w:tcBorders>
              <w:top w:val="nil"/>
              <w:left w:val="nil"/>
              <w:bottom w:val="nil"/>
              <w:right w:val="nil"/>
            </w:tcBorders>
            <w:shd w:val="clear" w:color="auto" w:fill="auto"/>
            <w:noWrap/>
            <w:hideMark/>
          </w:tcPr>
          <w:p w14:paraId="479644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6ABC6209" w14:textId="0F28B50A" w:rsidR="008836A7" w:rsidRPr="005F7C3C" w:rsidRDefault="008836A7" w:rsidP="008836A7">
            <w:pPr>
              <w:rPr>
                <w:rFonts w:ascii="Times New Roman" w:eastAsia="Times New Roman" w:hAnsi="Times New Roman" w:cs="Times New Roman"/>
                <w:color w:val="000000"/>
              </w:rPr>
            </w:pPr>
            <w:proofErr w:type="gramStart"/>
            <w:r w:rsidRPr="005F7C3C">
              <w:rPr>
                <w:rFonts w:ascii="Times New Roman" w:eastAsia="Times New Roman" w:hAnsi="Times New Roman" w:cs="Times New Roman"/>
                <w:color w:val="000000"/>
              </w:rPr>
              <w:t xml:space="preserve">The </w:t>
            </w:r>
            <w:r w:rsidR="004A606C" w:rsidRPr="005F7C3C">
              <w:rPr>
                <w:rFonts w:ascii="Times New Roman" w:eastAsia="Times New Roman" w:hAnsi="Times New Roman" w:cs="Times New Roman"/>
                <w:color w:val="000000"/>
              </w:rPr>
              <w:t>ex-ante</w:t>
            </w:r>
            <w:r w:rsidRPr="005F7C3C">
              <w:rPr>
                <w:rFonts w:ascii="Times New Roman" w:eastAsia="Times New Roman" w:hAnsi="Times New Roman" w:cs="Times New Roman"/>
                <w:color w:val="000000"/>
              </w:rPr>
              <w:t xml:space="preserve"> litigation risk,</w:t>
            </w:r>
            <w:proofErr w:type="gramEnd"/>
            <w:r w:rsidRPr="005F7C3C">
              <w:rPr>
                <w:rFonts w:ascii="Times New Roman" w:eastAsia="Times New Roman" w:hAnsi="Times New Roman" w:cs="Times New Roman"/>
                <w:color w:val="000000"/>
              </w:rPr>
              <w:t xml:space="preserve"> calculated using the Kim and Skinner (2012) litigation </w:t>
            </w:r>
            <w:proofErr w:type="spellStart"/>
            <w:r w:rsidRPr="005F7C3C">
              <w:rPr>
                <w:rFonts w:ascii="Times New Roman" w:eastAsia="Times New Roman" w:hAnsi="Times New Roman" w:cs="Times New Roman"/>
                <w:color w:val="000000"/>
              </w:rPr>
              <w:t>probit</w:t>
            </w:r>
            <w:proofErr w:type="spellEnd"/>
            <w:r w:rsidRPr="005F7C3C">
              <w:rPr>
                <w:rFonts w:ascii="Times New Roman" w:eastAsia="Times New Roman" w:hAnsi="Times New Roman" w:cs="Times New Roman"/>
                <w:color w:val="000000"/>
              </w:rPr>
              <w:t xml:space="preserve"> model coefficient estimates, at the end of year prior to the conference call. </w:t>
            </w:r>
          </w:p>
        </w:tc>
      </w:tr>
      <w:tr w:rsidR="008836A7" w:rsidRPr="005F7C3C" w14:paraId="538E5029" w14:textId="77777777" w:rsidTr="008836A7">
        <w:trPr>
          <w:trHeight w:val="846"/>
        </w:trPr>
        <w:tc>
          <w:tcPr>
            <w:tcW w:w="1239" w:type="pct"/>
            <w:tcBorders>
              <w:top w:val="nil"/>
              <w:left w:val="nil"/>
              <w:bottom w:val="nil"/>
              <w:right w:val="nil"/>
            </w:tcBorders>
            <w:shd w:val="clear" w:color="auto" w:fill="auto"/>
            <w:noWrap/>
            <w:hideMark/>
          </w:tcPr>
          <w:p w14:paraId="0C2B100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UESURP</w:t>
            </w:r>
          </w:p>
        </w:tc>
        <w:tc>
          <w:tcPr>
            <w:tcW w:w="183" w:type="pct"/>
            <w:tcBorders>
              <w:top w:val="nil"/>
              <w:left w:val="nil"/>
              <w:bottom w:val="nil"/>
              <w:right w:val="nil"/>
            </w:tcBorders>
            <w:shd w:val="clear" w:color="auto" w:fill="auto"/>
            <w:noWrap/>
            <w:hideMark/>
          </w:tcPr>
          <w:p w14:paraId="6B133708"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B33213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difference between Actual earnings and the most recent median consensus analyst forecast prior to the conference call date, scaled by the price at the beginning of the fiscal quarter. </w:t>
            </w:r>
          </w:p>
        </w:tc>
      </w:tr>
      <w:tr w:rsidR="008836A7" w:rsidRPr="005F7C3C" w14:paraId="368E1863" w14:textId="77777777" w:rsidTr="008836A7">
        <w:trPr>
          <w:trHeight w:val="564"/>
        </w:trPr>
        <w:tc>
          <w:tcPr>
            <w:tcW w:w="1239" w:type="pct"/>
            <w:tcBorders>
              <w:top w:val="nil"/>
              <w:left w:val="nil"/>
              <w:bottom w:val="nil"/>
              <w:right w:val="nil"/>
            </w:tcBorders>
            <w:shd w:val="clear" w:color="auto" w:fill="auto"/>
            <w:noWrap/>
            <w:hideMark/>
          </w:tcPr>
          <w:p w14:paraId="15A6278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ΔLEPS</w:t>
            </w:r>
          </w:p>
        </w:tc>
        <w:tc>
          <w:tcPr>
            <w:tcW w:w="183" w:type="pct"/>
            <w:tcBorders>
              <w:top w:val="nil"/>
              <w:left w:val="nil"/>
              <w:bottom w:val="nil"/>
              <w:right w:val="nil"/>
            </w:tcBorders>
            <w:shd w:val="clear" w:color="auto" w:fill="auto"/>
            <w:noWrap/>
            <w:hideMark/>
          </w:tcPr>
          <w:p w14:paraId="2247892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D65D44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earnings per share at the beginning of the quarter (EPSq-1 – </w:t>
            </w:r>
            <w:proofErr w:type="spellStart"/>
            <w:r w:rsidRPr="005F7C3C">
              <w:rPr>
                <w:rFonts w:ascii="Times New Roman" w:eastAsia="Times New Roman" w:hAnsi="Times New Roman" w:cs="Times New Roman"/>
                <w:color w:val="000000"/>
              </w:rPr>
              <w:t>EPSq</w:t>
            </w:r>
            <w:proofErr w:type="spellEnd"/>
            <w:r w:rsidRPr="005F7C3C">
              <w:rPr>
                <w:rFonts w:ascii="Times New Roman" w:eastAsia="Times New Roman" w:hAnsi="Times New Roman" w:cs="Times New Roman"/>
                <w:color w:val="000000"/>
              </w:rPr>
              <w:t>–5) prior to the conference call disclosure, scaled by q-5 quarter price.</w:t>
            </w:r>
          </w:p>
        </w:tc>
      </w:tr>
      <w:tr w:rsidR="008836A7" w:rsidRPr="005F7C3C" w14:paraId="665FFC5F" w14:textId="77777777" w:rsidTr="008836A7">
        <w:trPr>
          <w:trHeight w:val="564"/>
        </w:trPr>
        <w:tc>
          <w:tcPr>
            <w:tcW w:w="1239" w:type="pct"/>
            <w:tcBorders>
              <w:top w:val="nil"/>
              <w:left w:val="nil"/>
              <w:bottom w:val="nil"/>
              <w:right w:val="nil"/>
            </w:tcBorders>
            <w:shd w:val="clear" w:color="auto" w:fill="auto"/>
            <w:noWrap/>
            <w:hideMark/>
          </w:tcPr>
          <w:p w14:paraId="044A71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4thQTR</w:t>
            </w:r>
          </w:p>
        </w:tc>
        <w:tc>
          <w:tcPr>
            <w:tcW w:w="183" w:type="pct"/>
            <w:tcBorders>
              <w:top w:val="nil"/>
              <w:left w:val="nil"/>
              <w:bottom w:val="nil"/>
              <w:right w:val="nil"/>
            </w:tcBorders>
            <w:shd w:val="clear" w:color="auto" w:fill="auto"/>
            <w:noWrap/>
            <w:hideMark/>
          </w:tcPr>
          <w:p w14:paraId="36EA2B16"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083ABB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 earnings announcement is for the fourth fiscal quarter; 0 otherwise. </w:t>
            </w:r>
          </w:p>
        </w:tc>
      </w:tr>
      <w:tr w:rsidR="008836A7" w:rsidRPr="005F7C3C" w14:paraId="4BDA0C8A" w14:textId="77777777" w:rsidTr="008836A7">
        <w:trPr>
          <w:trHeight w:val="564"/>
        </w:trPr>
        <w:tc>
          <w:tcPr>
            <w:tcW w:w="1239" w:type="pct"/>
            <w:tcBorders>
              <w:top w:val="nil"/>
              <w:left w:val="nil"/>
              <w:bottom w:val="nil"/>
              <w:right w:val="nil"/>
            </w:tcBorders>
            <w:shd w:val="clear" w:color="auto" w:fill="auto"/>
            <w:noWrap/>
            <w:hideMark/>
          </w:tcPr>
          <w:p w14:paraId="0B61C7BE"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CAR</w:t>
            </w:r>
          </w:p>
        </w:tc>
        <w:tc>
          <w:tcPr>
            <w:tcW w:w="183" w:type="pct"/>
            <w:tcBorders>
              <w:top w:val="nil"/>
              <w:left w:val="nil"/>
              <w:bottom w:val="nil"/>
              <w:right w:val="nil"/>
            </w:tcBorders>
            <w:shd w:val="clear" w:color="auto" w:fill="auto"/>
            <w:noWrap/>
            <w:hideMark/>
          </w:tcPr>
          <w:p w14:paraId="413887D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30BFDEF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three-day (-1, 1) cumulative abnormal return around the conference call disclosure date. </w:t>
            </w:r>
          </w:p>
        </w:tc>
      </w:tr>
      <w:tr w:rsidR="008836A7" w:rsidRPr="005F7C3C" w14:paraId="509A556B" w14:textId="77777777" w:rsidTr="008836A7">
        <w:trPr>
          <w:trHeight w:val="288"/>
        </w:trPr>
        <w:tc>
          <w:tcPr>
            <w:tcW w:w="1239" w:type="pct"/>
            <w:tcBorders>
              <w:top w:val="nil"/>
              <w:left w:val="nil"/>
              <w:bottom w:val="nil"/>
              <w:right w:val="nil"/>
            </w:tcBorders>
            <w:shd w:val="clear" w:color="auto" w:fill="auto"/>
            <w:noWrap/>
            <w:vAlign w:val="center"/>
            <w:hideMark/>
          </w:tcPr>
          <w:p w14:paraId="071FDD4F"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POSTONE(Present)</w:t>
            </w:r>
          </w:p>
        </w:tc>
        <w:tc>
          <w:tcPr>
            <w:tcW w:w="183" w:type="pct"/>
            <w:tcBorders>
              <w:top w:val="nil"/>
              <w:left w:val="nil"/>
              <w:bottom w:val="nil"/>
              <w:right w:val="nil"/>
            </w:tcBorders>
            <w:shd w:val="clear" w:color="auto" w:fill="auto"/>
            <w:noWrap/>
            <w:hideMark/>
          </w:tcPr>
          <w:p w14:paraId="6C79C4A3"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1679901D"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presentation of the call. </w:t>
            </w:r>
          </w:p>
        </w:tc>
      </w:tr>
      <w:tr w:rsidR="008836A7" w:rsidRPr="005F7C3C" w14:paraId="0BF499AE" w14:textId="77777777" w:rsidTr="008836A7">
        <w:trPr>
          <w:trHeight w:val="288"/>
        </w:trPr>
        <w:tc>
          <w:tcPr>
            <w:tcW w:w="1239" w:type="pct"/>
            <w:tcBorders>
              <w:top w:val="nil"/>
              <w:left w:val="nil"/>
              <w:bottom w:val="nil"/>
              <w:right w:val="nil"/>
            </w:tcBorders>
            <w:shd w:val="clear" w:color="auto" w:fill="auto"/>
            <w:noWrap/>
            <w:vAlign w:val="center"/>
            <w:hideMark/>
          </w:tcPr>
          <w:p w14:paraId="4BCBBC2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POSTONE(Response)</w:t>
            </w:r>
          </w:p>
        </w:tc>
        <w:tc>
          <w:tcPr>
            <w:tcW w:w="183" w:type="pct"/>
            <w:tcBorders>
              <w:top w:val="nil"/>
              <w:left w:val="nil"/>
              <w:bottom w:val="nil"/>
              <w:right w:val="nil"/>
            </w:tcBorders>
            <w:shd w:val="clear" w:color="auto" w:fill="auto"/>
            <w:noWrap/>
            <w:hideMark/>
          </w:tcPr>
          <w:p w14:paraId="61FD9BD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5950CDD0"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response of the call. </w:t>
            </w:r>
          </w:p>
        </w:tc>
      </w:tr>
      <w:tr w:rsidR="008836A7" w:rsidRPr="005F7C3C" w14:paraId="56DD2C1A" w14:textId="77777777" w:rsidTr="008836A7">
        <w:trPr>
          <w:trHeight w:val="288"/>
        </w:trPr>
        <w:tc>
          <w:tcPr>
            <w:tcW w:w="1239" w:type="pct"/>
            <w:tcBorders>
              <w:top w:val="nil"/>
              <w:left w:val="nil"/>
              <w:bottom w:val="nil"/>
              <w:right w:val="nil"/>
            </w:tcBorders>
            <w:shd w:val="clear" w:color="auto" w:fill="auto"/>
            <w:noWrap/>
            <w:vAlign w:val="center"/>
            <w:hideMark/>
          </w:tcPr>
          <w:p w14:paraId="41B8580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NEGTONE(Present)</w:t>
            </w:r>
          </w:p>
        </w:tc>
        <w:tc>
          <w:tcPr>
            <w:tcW w:w="183" w:type="pct"/>
            <w:tcBorders>
              <w:top w:val="nil"/>
              <w:left w:val="nil"/>
              <w:bottom w:val="nil"/>
              <w:right w:val="nil"/>
            </w:tcBorders>
            <w:shd w:val="clear" w:color="auto" w:fill="auto"/>
            <w:noWrap/>
            <w:hideMark/>
          </w:tcPr>
          <w:p w14:paraId="581566F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481B356B"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presentation of the call. </w:t>
            </w:r>
          </w:p>
        </w:tc>
      </w:tr>
      <w:tr w:rsidR="008836A7" w:rsidRPr="005F7C3C" w14:paraId="4C5DC97B" w14:textId="77777777" w:rsidTr="008836A7">
        <w:trPr>
          <w:trHeight w:val="288"/>
        </w:trPr>
        <w:tc>
          <w:tcPr>
            <w:tcW w:w="1239" w:type="pct"/>
            <w:tcBorders>
              <w:top w:val="nil"/>
              <w:left w:val="nil"/>
              <w:bottom w:val="nil"/>
              <w:right w:val="nil"/>
            </w:tcBorders>
            <w:shd w:val="clear" w:color="auto" w:fill="auto"/>
            <w:noWrap/>
            <w:vAlign w:val="center"/>
            <w:hideMark/>
          </w:tcPr>
          <w:p w14:paraId="7DF1C04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NEGTONE(Response)</w:t>
            </w:r>
          </w:p>
        </w:tc>
        <w:tc>
          <w:tcPr>
            <w:tcW w:w="183" w:type="pct"/>
            <w:tcBorders>
              <w:top w:val="nil"/>
              <w:left w:val="nil"/>
              <w:bottom w:val="nil"/>
              <w:right w:val="nil"/>
            </w:tcBorders>
            <w:shd w:val="clear" w:color="auto" w:fill="auto"/>
            <w:noWrap/>
            <w:hideMark/>
          </w:tcPr>
          <w:p w14:paraId="3E6B488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34CA34F1"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response of the call. </w:t>
            </w:r>
          </w:p>
        </w:tc>
      </w:tr>
      <w:tr w:rsidR="008836A7" w:rsidRPr="005F7C3C" w14:paraId="0A909627" w14:textId="77777777" w:rsidTr="008836A7">
        <w:trPr>
          <w:trHeight w:val="564"/>
        </w:trPr>
        <w:tc>
          <w:tcPr>
            <w:tcW w:w="1239" w:type="pct"/>
            <w:tcBorders>
              <w:top w:val="nil"/>
              <w:left w:val="nil"/>
              <w:bottom w:val="nil"/>
              <w:right w:val="nil"/>
            </w:tcBorders>
            <w:shd w:val="clear" w:color="auto" w:fill="auto"/>
            <w:noWrap/>
            <w:hideMark/>
          </w:tcPr>
          <w:p w14:paraId="45075BE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GUIDANCE</w:t>
            </w:r>
          </w:p>
        </w:tc>
        <w:tc>
          <w:tcPr>
            <w:tcW w:w="183" w:type="pct"/>
            <w:tcBorders>
              <w:top w:val="nil"/>
              <w:left w:val="nil"/>
              <w:bottom w:val="nil"/>
              <w:right w:val="nil"/>
            </w:tcBorders>
            <w:shd w:val="clear" w:color="auto" w:fill="auto"/>
            <w:noWrap/>
            <w:hideMark/>
          </w:tcPr>
          <w:p w14:paraId="465DC6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695C41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at least one quantitative guidance is provided on the same day as the conference call, based on the IBES Guidance database. </w:t>
            </w:r>
          </w:p>
        </w:tc>
      </w:tr>
      <w:tr w:rsidR="008836A7" w:rsidRPr="005F7C3C" w14:paraId="493794A2" w14:textId="77777777" w:rsidTr="008836A7">
        <w:trPr>
          <w:trHeight w:val="852"/>
        </w:trPr>
        <w:tc>
          <w:tcPr>
            <w:tcW w:w="1239" w:type="pct"/>
            <w:tcBorders>
              <w:top w:val="nil"/>
              <w:left w:val="nil"/>
              <w:bottom w:val="single" w:sz="8" w:space="0" w:color="auto"/>
              <w:right w:val="nil"/>
            </w:tcBorders>
            <w:shd w:val="clear" w:color="auto" w:fill="auto"/>
            <w:noWrap/>
            <w:hideMark/>
          </w:tcPr>
          <w:p w14:paraId="67DD09F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RESPONSIVE</w:t>
            </w:r>
          </w:p>
        </w:tc>
        <w:tc>
          <w:tcPr>
            <w:tcW w:w="183" w:type="pct"/>
            <w:tcBorders>
              <w:top w:val="nil"/>
              <w:left w:val="nil"/>
              <w:bottom w:val="single" w:sz="8" w:space="0" w:color="auto"/>
              <w:right w:val="nil"/>
            </w:tcBorders>
            <w:shd w:val="clear" w:color="auto" w:fill="auto"/>
            <w:noWrap/>
            <w:hideMark/>
          </w:tcPr>
          <w:p w14:paraId="25D350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single" w:sz="8" w:space="0" w:color="auto"/>
              <w:right w:val="nil"/>
            </w:tcBorders>
            <w:shd w:val="clear" w:color="auto" w:fill="auto"/>
            <w:hideMark/>
          </w:tcPr>
          <w:p w14:paraId="36B497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there is at least one analyst revising the forecast of next year's earnings within two trading days after the current quarter earnings announcement; 0 otherwise. </w:t>
            </w:r>
          </w:p>
        </w:tc>
      </w:tr>
    </w:tbl>
    <w:p w14:paraId="1329C77B" w14:textId="707DE7D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1C20320" w14:textId="77777777" w:rsidR="008836A7" w:rsidRDefault="008836A7">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794A8318" w14:textId="369F2101"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 xml:space="preserve">Table </w:t>
      </w:r>
      <w:r>
        <w:rPr>
          <w:rFonts w:ascii="Times New Roman" w:eastAsia="Times New Roman" w:hAnsi="Times New Roman" w:cs="Times New Roman"/>
          <w:b/>
          <w:bCs/>
          <w:color w:val="000000"/>
          <w:sz w:val="24"/>
        </w:rPr>
        <w:t>1</w:t>
      </w:r>
      <w:r w:rsidRPr="008836A7">
        <w:rPr>
          <w:rFonts w:ascii="Times New Roman" w:eastAsia="Times New Roman" w:hAnsi="Times New Roman" w:cs="Times New Roman"/>
          <w:b/>
          <w:bCs/>
          <w:color w:val="000000"/>
          <w:sz w:val="24"/>
        </w:rPr>
        <w:br/>
        <w:t>Summary Statistics</w:t>
      </w:r>
    </w:p>
    <w:p w14:paraId="4A5BB578" w14:textId="77777777" w:rsidR="008836A7" w:rsidRPr="008836A7" w:rsidRDefault="008836A7" w:rsidP="008836A7">
      <w:pPr>
        <w:jc w:val="center"/>
        <w:rPr>
          <w:rFonts w:ascii="Times New Roman" w:eastAsia="Times New Roman" w:hAnsi="Times New Roman" w:cs="Times New Roman"/>
          <w:b/>
          <w:bCs/>
          <w:color w:val="000000"/>
          <w:sz w:val="24"/>
        </w:rPr>
      </w:pPr>
    </w:p>
    <w:tbl>
      <w:tblPr>
        <w:tblW w:w="0" w:type="auto"/>
        <w:tblInd w:w="765" w:type="dxa"/>
        <w:tblLook w:val="04A0" w:firstRow="1" w:lastRow="0" w:firstColumn="1" w:lastColumn="0" w:noHBand="0" w:noVBand="1"/>
      </w:tblPr>
      <w:tblGrid>
        <w:gridCol w:w="2257"/>
        <w:gridCol w:w="1206"/>
        <w:gridCol w:w="895"/>
        <w:gridCol w:w="821"/>
        <w:gridCol w:w="895"/>
        <w:gridCol w:w="938"/>
        <w:gridCol w:w="821"/>
      </w:tblGrid>
      <w:tr w:rsidR="008836A7" w:rsidRPr="005F7C3C" w14:paraId="5559A779" w14:textId="77777777" w:rsidTr="008836A7">
        <w:trPr>
          <w:trHeight w:val="276"/>
        </w:trPr>
        <w:tc>
          <w:tcPr>
            <w:tcW w:w="0" w:type="auto"/>
            <w:tcBorders>
              <w:top w:val="single" w:sz="4" w:space="0" w:color="auto"/>
              <w:left w:val="nil"/>
              <w:bottom w:val="single" w:sz="4" w:space="0" w:color="auto"/>
              <w:right w:val="nil"/>
            </w:tcBorders>
            <w:shd w:val="clear" w:color="auto" w:fill="auto"/>
            <w:noWrap/>
            <w:vAlign w:val="bottom"/>
            <w:hideMark/>
          </w:tcPr>
          <w:p w14:paraId="4261E8A0" w14:textId="521DBFB2"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single" w:sz="4" w:space="0" w:color="auto"/>
              <w:left w:val="nil"/>
              <w:bottom w:val="single" w:sz="4" w:space="0" w:color="auto"/>
              <w:right w:val="nil"/>
            </w:tcBorders>
            <w:shd w:val="clear" w:color="auto" w:fill="auto"/>
            <w:noWrap/>
            <w:hideMark/>
          </w:tcPr>
          <w:p w14:paraId="41261632"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N</w:t>
            </w:r>
          </w:p>
        </w:tc>
        <w:tc>
          <w:tcPr>
            <w:tcW w:w="0" w:type="auto"/>
            <w:tcBorders>
              <w:top w:val="single" w:sz="4" w:space="0" w:color="auto"/>
              <w:left w:val="nil"/>
              <w:bottom w:val="single" w:sz="4" w:space="0" w:color="auto"/>
              <w:right w:val="nil"/>
            </w:tcBorders>
            <w:shd w:val="clear" w:color="auto" w:fill="auto"/>
            <w:noWrap/>
            <w:hideMark/>
          </w:tcPr>
          <w:p w14:paraId="6D2E4E5C"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Mean</w:t>
            </w:r>
          </w:p>
        </w:tc>
        <w:tc>
          <w:tcPr>
            <w:tcW w:w="0" w:type="auto"/>
            <w:tcBorders>
              <w:top w:val="single" w:sz="4" w:space="0" w:color="auto"/>
              <w:left w:val="nil"/>
              <w:bottom w:val="single" w:sz="4" w:space="0" w:color="auto"/>
              <w:right w:val="nil"/>
            </w:tcBorders>
            <w:shd w:val="clear" w:color="auto" w:fill="auto"/>
            <w:noWrap/>
            <w:hideMark/>
          </w:tcPr>
          <w:p w14:paraId="2481033A"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Std</w:t>
            </w:r>
          </w:p>
        </w:tc>
        <w:tc>
          <w:tcPr>
            <w:tcW w:w="0" w:type="auto"/>
            <w:tcBorders>
              <w:top w:val="single" w:sz="4" w:space="0" w:color="auto"/>
              <w:left w:val="nil"/>
              <w:bottom w:val="single" w:sz="4" w:space="0" w:color="auto"/>
              <w:right w:val="nil"/>
            </w:tcBorders>
            <w:shd w:val="clear" w:color="auto" w:fill="auto"/>
            <w:noWrap/>
            <w:hideMark/>
          </w:tcPr>
          <w:p w14:paraId="04659F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Q1</w:t>
            </w:r>
          </w:p>
        </w:tc>
        <w:tc>
          <w:tcPr>
            <w:tcW w:w="0" w:type="auto"/>
            <w:tcBorders>
              <w:top w:val="single" w:sz="4" w:space="0" w:color="auto"/>
              <w:left w:val="nil"/>
              <w:bottom w:val="single" w:sz="4" w:space="0" w:color="auto"/>
              <w:right w:val="nil"/>
            </w:tcBorders>
            <w:shd w:val="clear" w:color="auto" w:fill="auto"/>
            <w:noWrap/>
            <w:hideMark/>
          </w:tcPr>
          <w:p w14:paraId="49B0BCF0"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xml:space="preserve">Median </w:t>
            </w:r>
          </w:p>
        </w:tc>
        <w:tc>
          <w:tcPr>
            <w:tcW w:w="0" w:type="auto"/>
            <w:tcBorders>
              <w:top w:val="single" w:sz="4" w:space="0" w:color="auto"/>
              <w:left w:val="nil"/>
              <w:bottom w:val="single" w:sz="4" w:space="0" w:color="auto"/>
              <w:right w:val="nil"/>
            </w:tcBorders>
            <w:shd w:val="clear" w:color="auto" w:fill="auto"/>
            <w:noWrap/>
            <w:hideMark/>
          </w:tcPr>
          <w:p w14:paraId="1C4D1CE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Q3</w:t>
            </w:r>
          </w:p>
        </w:tc>
      </w:tr>
      <w:tr w:rsidR="008836A7" w:rsidRPr="005F7C3C" w14:paraId="44DC142C" w14:textId="77777777" w:rsidTr="008836A7">
        <w:trPr>
          <w:trHeight w:val="276"/>
        </w:trPr>
        <w:tc>
          <w:tcPr>
            <w:tcW w:w="0" w:type="auto"/>
            <w:tcBorders>
              <w:top w:val="nil"/>
              <w:left w:val="nil"/>
              <w:bottom w:val="nil"/>
              <w:right w:val="nil"/>
            </w:tcBorders>
            <w:shd w:val="clear" w:color="auto" w:fill="auto"/>
            <w:noWrap/>
            <w:hideMark/>
          </w:tcPr>
          <w:p w14:paraId="6B7AAE9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ΔSPREAD</w:t>
            </w:r>
          </w:p>
        </w:tc>
        <w:tc>
          <w:tcPr>
            <w:tcW w:w="0" w:type="auto"/>
            <w:tcBorders>
              <w:top w:val="nil"/>
              <w:left w:val="nil"/>
              <w:bottom w:val="nil"/>
              <w:right w:val="nil"/>
            </w:tcBorders>
            <w:shd w:val="clear" w:color="000000" w:fill="FFFFFF"/>
            <w:hideMark/>
          </w:tcPr>
          <w:p w14:paraId="5C88A4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011523D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-0.0025</w:t>
            </w:r>
          </w:p>
        </w:tc>
        <w:tc>
          <w:tcPr>
            <w:tcW w:w="0" w:type="auto"/>
            <w:tcBorders>
              <w:top w:val="nil"/>
              <w:left w:val="nil"/>
              <w:bottom w:val="nil"/>
              <w:right w:val="nil"/>
            </w:tcBorders>
            <w:shd w:val="clear" w:color="000000" w:fill="FFFFFF"/>
            <w:hideMark/>
          </w:tcPr>
          <w:p w14:paraId="230C32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0.0366</w:t>
            </w:r>
          </w:p>
        </w:tc>
        <w:tc>
          <w:tcPr>
            <w:tcW w:w="0" w:type="auto"/>
            <w:tcBorders>
              <w:top w:val="nil"/>
              <w:left w:val="nil"/>
              <w:bottom w:val="nil"/>
              <w:right w:val="nil"/>
            </w:tcBorders>
            <w:shd w:val="clear" w:color="000000" w:fill="FFFFFF"/>
            <w:noWrap/>
            <w:hideMark/>
          </w:tcPr>
          <w:p w14:paraId="25F6E1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000000" w:fill="FFFFFF"/>
            <w:noWrap/>
            <w:hideMark/>
          </w:tcPr>
          <w:p w14:paraId="0B320A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000000" w:fill="FFFFFF"/>
            <w:hideMark/>
          </w:tcPr>
          <w:p w14:paraId="19B80D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r>
      <w:tr w:rsidR="008836A7" w:rsidRPr="005F7C3C" w14:paraId="4E73F0CB" w14:textId="77777777" w:rsidTr="008836A7">
        <w:trPr>
          <w:trHeight w:val="276"/>
        </w:trPr>
        <w:tc>
          <w:tcPr>
            <w:tcW w:w="0" w:type="auto"/>
            <w:tcBorders>
              <w:top w:val="nil"/>
              <w:left w:val="nil"/>
              <w:bottom w:val="nil"/>
              <w:right w:val="nil"/>
            </w:tcBorders>
            <w:shd w:val="clear" w:color="auto" w:fill="auto"/>
            <w:noWrap/>
            <w:hideMark/>
          </w:tcPr>
          <w:p w14:paraId="49FEBD2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ΔAFERROR</w:t>
            </w:r>
          </w:p>
        </w:tc>
        <w:tc>
          <w:tcPr>
            <w:tcW w:w="0" w:type="auto"/>
            <w:tcBorders>
              <w:top w:val="nil"/>
              <w:left w:val="nil"/>
              <w:bottom w:val="nil"/>
              <w:right w:val="nil"/>
            </w:tcBorders>
            <w:shd w:val="clear" w:color="000000" w:fill="FFFFFF"/>
            <w:hideMark/>
          </w:tcPr>
          <w:p w14:paraId="4CAA74C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auto" w:fill="auto"/>
            <w:hideMark/>
          </w:tcPr>
          <w:p w14:paraId="424DDAD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hideMark/>
          </w:tcPr>
          <w:p w14:paraId="3FD061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0.7933</w:t>
            </w:r>
          </w:p>
        </w:tc>
        <w:tc>
          <w:tcPr>
            <w:tcW w:w="0" w:type="auto"/>
            <w:tcBorders>
              <w:top w:val="nil"/>
              <w:left w:val="nil"/>
              <w:bottom w:val="nil"/>
              <w:right w:val="nil"/>
            </w:tcBorders>
            <w:shd w:val="clear" w:color="auto" w:fill="auto"/>
            <w:noWrap/>
            <w:hideMark/>
          </w:tcPr>
          <w:p w14:paraId="3836D38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-0.1924</w:t>
            </w:r>
          </w:p>
        </w:tc>
        <w:tc>
          <w:tcPr>
            <w:tcW w:w="0" w:type="auto"/>
            <w:tcBorders>
              <w:top w:val="nil"/>
              <w:left w:val="nil"/>
              <w:bottom w:val="nil"/>
              <w:right w:val="nil"/>
            </w:tcBorders>
            <w:shd w:val="clear" w:color="auto" w:fill="auto"/>
            <w:hideMark/>
          </w:tcPr>
          <w:p w14:paraId="2A5E246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-0.0144</w:t>
            </w:r>
          </w:p>
        </w:tc>
        <w:tc>
          <w:tcPr>
            <w:tcW w:w="0" w:type="auto"/>
            <w:tcBorders>
              <w:top w:val="nil"/>
              <w:left w:val="nil"/>
              <w:bottom w:val="nil"/>
              <w:right w:val="nil"/>
            </w:tcBorders>
            <w:shd w:val="clear" w:color="auto" w:fill="auto"/>
            <w:hideMark/>
          </w:tcPr>
          <w:p w14:paraId="78A78A5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0.1297</w:t>
            </w:r>
          </w:p>
        </w:tc>
      </w:tr>
      <w:tr w:rsidR="008836A7" w:rsidRPr="005F7C3C" w14:paraId="6F6AE419" w14:textId="77777777" w:rsidTr="008836A7">
        <w:trPr>
          <w:trHeight w:val="276"/>
        </w:trPr>
        <w:tc>
          <w:tcPr>
            <w:tcW w:w="0" w:type="auto"/>
            <w:tcBorders>
              <w:top w:val="nil"/>
              <w:left w:val="nil"/>
              <w:bottom w:val="nil"/>
              <w:right w:val="nil"/>
            </w:tcBorders>
            <w:shd w:val="clear" w:color="auto" w:fill="auto"/>
            <w:noWrap/>
            <w:hideMark/>
          </w:tcPr>
          <w:p w14:paraId="50E981D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ΔAFDISP</w:t>
            </w:r>
          </w:p>
        </w:tc>
        <w:tc>
          <w:tcPr>
            <w:tcW w:w="0" w:type="auto"/>
            <w:tcBorders>
              <w:top w:val="nil"/>
              <w:left w:val="nil"/>
              <w:bottom w:val="nil"/>
              <w:right w:val="nil"/>
            </w:tcBorders>
            <w:shd w:val="clear" w:color="000000" w:fill="FFFFFF"/>
            <w:hideMark/>
          </w:tcPr>
          <w:p w14:paraId="292837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nil"/>
              <w:right w:val="nil"/>
            </w:tcBorders>
            <w:shd w:val="clear" w:color="000000" w:fill="FFFFFF"/>
            <w:hideMark/>
          </w:tcPr>
          <w:p w14:paraId="06F773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000000" w:fill="FFFFFF"/>
            <w:hideMark/>
          </w:tcPr>
          <w:p w14:paraId="5E1F18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0.1199</w:t>
            </w:r>
          </w:p>
        </w:tc>
        <w:tc>
          <w:tcPr>
            <w:tcW w:w="0" w:type="auto"/>
            <w:tcBorders>
              <w:top w:val="nil"/>
              <w:left w:val="nil"/>
              <w:bottom w:val="nil"/>
              <w:right w:val="nil"/>
            </w:tcBorders>
            <w:shd w:val="clear" w:color="000000" w:fill="FFFFFF"/>
            <w:noWrap/>
            <w:hideMark/>
          </w:tcPr>
          <w:p w14:paraId="6A06A0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-0.0336</w:t>
            </w:r>
          </w:p>
        </w:tc>
        <w:tc>
          <w:tcPr>
            <w:tcW w:w="0" w:type="auto"/>
            <w:tcBorders>
              <w:top w:val="nil"/>
              <w:left w:val="nil"/>
              <w:bottom w:val="nil"/>
              <w:right w:val="nil"/>
            </w:tcBorders>
            <w:shd w:val="clear" w:color="000000" w:fill="FFFFFF"/>
            <w:noWrap/>
            <w:hideMark/>
          </w:tcPr>
          <w:p w14:paraId="1B4ED58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3A627D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0.0317</w:t>
            </w:r>
          </w:p>
        </w:tc>
      </w:tr>
      <w:tr w:rsidR="008836A7" w:rsidRPr="005F7C3C" w14:paraId="70055DC0" w14:textId="77777777" w:rsidTr="008836A7">
        <w:trPr>
          <w:trHeight w:val="276"/>
        </w:trPr>
        <w:tc>
          <w:tcPr>
            <w:tcW w:w="0" w:type="auto"/>
            <w:tcBorders>
              <w:top w:val="nil"/>
              <w:left w:val="nil"/>
              <w:bottom w:val="nil"/>
              <w:right w:val="nil"/>
            </w:tcBorders>
            <w:shd w:val="clear" w:color="auto" w:fill="auto"/>
            <w:noWrap/>
            <w:hideMark/>
          </w:tcPr>
          <w:p w14:paraId="72BD7E9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CONSER_B</w:t>
            </w:r>
          </w:p>
        </w:tc>
        <w:tc>
          <w:tcPr>
            <w:tcW w:w="0" w:type="auto"/>
            <w:tcBorders>
              <w:top w:val="nil"/>
              <w:left w:val="nil"/>
              <w:bottom w:val="nil"/>
              <w:right w:val="nil"/>
            </w:tcBorders>
            <w:shd w:val="clear" w:color="000000" w:fill="FFFFFF"/>
            <w:hideMark/>
          </w:tcPr>
          <w:p w14:paraId="6AAECC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F9CC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0.1842</w:t>
            </w:r>
          </w:p>
        </w:tc>
        <w:tc>
          <w:tcPr>
            <w:tcW w:w="0" w:type="auto"/>
            <w:tcBorders>
              <w:top w:val="nil"/>
              <w:left w:val="nil"/>
              <w:bottom w:val="nil"/>
              <w:right w:val="nil"/>
            </w:tcBorders>
            <w:shd w:val="clear" w:color="000000" w:fill="FFFFFF"/>
            <w:hideMark/>
          </w:tcPr>
          <w:p w14:paraId="601FF5D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18.211</w:t>
            </w:r>
          </w:p>
        </w:tc>
        <w:tc>
          <w:tcPr>
            <w:tcW w:w="0" w:type="auto"/>
            <w:tcBorders>
              <w:top w:val="nil"/>
              <w:left w:val="nil"/>
              <w:bottom w:val="nil"/>
              <w:right w:val="nil"/>
            </w:tcBorders>
            <w:shd w:val="clear" w:color="000000" w:fill="FFFFFF"/>
            <w:noWrap/>
            <w:hideMark/>
          </w:tcPr>
          <w:p w14:paraId="4526748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-2.1243</w:t>
            </w:r>
          </w:p>
        </w:tc>
        <w:tc>
          <w:tcPr>
            <w:tcW w:w="0" w:type="auto"/>
            <w:tcBorders>
              <w:top w:val="nil"/>
              <w:left w:val="nil"/>
              <w:bottom w:val="nil"/>
              <w:right w:val="nil"/>
            </w:tcBorders>
            <w:shd w:val="clear" w:color="000000" w:fill="FFFFFF"/>
            <w:hideMark/>
          </w:tcPr>
          <w:p w14:paraId="6F51F0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0.2054</w:t>
            </w:r>
          </w:p>
        </w:tc>
        <w:tc>
          <w:tcPr>
            <w:tcW w:w="0" w:type="auto"/>
            <w:tcBorders>
              <w:top w:val="nil"/>
              <w:left w:val="nil"/>
              <w:bottom w:val="nil"/>
              <w:right w:val="nil"/>
            </w:tcBorders>
            <w:shd w:val="clear" w:color="000000" w:fill="FFFFFF"/>
            <w:hideMark/>
          </w:tcPr>
          <w:p w14:paraId="3596AA0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2.8028</w:t>
            </w:r>
          </w:p>
        </w:tc>
      </w:tr>
      <w:tr w:rsidR="008836A7" w:rsidRPr="005F7C3C" w14:paraId="4D07CAAB" w14:textId="77777777" w:rsidTr="008836A7">
        <w:trPr>
          <w:trHeight w:val="276"/>
        </w:trPr>
        <w:tc>
          <w:tcPr>
            <w:tcW w:w="0" w:type="auto"/>
            <w:tcBorders>
              <w:top w:val="nil"/>
              <w:left w:val="nil"/>
              <w:bottom w:val="nil"/>
              <w:right w:val="nil"/>
            </w:tcBorders>
            <w:shd w:val="clear" w:color="auto" w:fill="auto"/>
            <w:noWrap/>
            <w:hideMark/>
          </w:tcPr>
          <w:p w14:paraId="18EA8A1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CONSER_NOA</w:t>
            </w:r>
          </w:p>
        </w:tc>
        <w:tc>
          <w:tcPr>
            <w:tcW w:w="0" w:type="auto"/>
            <w:tcBorders>
              <w:top w:val="nil"/>
              <w:left w:val="nil"/>
              <w:bottom w:val="nil"/>
              <w:right w:val="nil"/>
            </w:tcBorders>
            <w:shd w:val="clear" w:color="000000" w:fill="FFFFFF"/>
            <w:hideMark/>
          </w:tcPr>
          <w:p w14:paraId="78C020D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DB9C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0.2907</w:t>
            </w:r>
          </w:p>
        </w:tc>
        <w:tc>
          <w:tcPr>
            <w:tcW w:w="0" w:type="auto"/>
            <w:tcBorders>
              <w:top w:val="nil"/>
              <w:left w:val="nil"/>
              <w:bottom w:val="nil"/>
              <w:right w:val="nil"/>
            </w:tcBorders>
            <w:shd w:val="clear" w:color="000000" w:fill="FFFFFF"/>
            <w:hideMark/>
          </w:tcPr>
          <w:p w14:paraId="5BB91D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0.3396</w:t>
            </w:r>
          </w:p>
        </w:tc>
        <w:tc>
          <w:tcPr>
            <w:tcW w:w="0" w:type="auto"/>
            <w:tcBorders>
              <w:top w:val="nil"/>
              <w:left w:val="nil"/>
              <w:bottom w:val="nil"/>
              <w:right w:val="nil"/>
            </w:tcBorders>
            <w:shd w:val="clear" w:color="000000" w:fill="FFFFFF"/>
            <w:hideMark/>
          </w:tcPr>
          <w:p w14:paraId="679EE1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0.1208</w:t>
            </w:r>
          </w:p>
        </w:tc>
        <w:tc>
          <w:tcPr>
            <w:tcW w:w="0" w:type="auto"/>
            <w:tcBorders>
              <w:top w:val="nil"/>
              <w:left w:val="nil"/>
              <w:bottom w:val="nil"/>
              <w:right w:val="nil"/>
            </w:tcBorders>
            <w:shd w:val="clear" w:color="000000" w:fill="FFFFFF"/>
            <w:hideMark/>
          </w:tcPr>
          <w:p w14:paraId="552FE25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0.2181</w:t>
            </w:r>
          </w:p>
        </w:tc>
        <w:tc>
          <w:tcPr>
            <w:tcW w:w="0" w:type="auto"/>
            <w:tcBorders>
              <w:top w:val="nil"/>
              <w:left w:val="nil"/>
              <w:bottom w:val="nil"/>
              <w:right w:val="nil"/>
            </w:tcBorders>
            <w:shd w:val="clear" w:color="000000" w:fill="FFFFFF"/>
            <w:hideMark/>
          </w:tcPr>
          <w:p w14:paraId="290C04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0.3718</w:t>
            </w:r>
          </w:p>
        </w:tc>
      </w:tr>
      <w:tr w:rsidR="008836A7" w:rsidRPr="005F7C3C" w14:paraId="32942021" w14:textId="77777777" w:rsidTr="008836A7">
        <w:trPr>
          <w:trHeight w:val="276"/>
        </w:trPr>
        <w:tc>
          <w:tcPr>
            <w:tcW w:w="0" w:type="auto"/>
            <w:tcBorders>
              <w:top w:val="nil"/>
              <w:left w:val="nil"/>
              <w:bottom w:val="nil"/>
              <w:right w:val="nil"/>
            </w:tcBorders>
            <w:shd w:val="clear" w:color="auto" w:fill="auto"/>
            <w:noWrap/>
            <w:hideMark/>
          </w:tcPr>
          <w:p w14:paraId="3EF6EA0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CONSER_CSH</w:t>
            </w:r>
          </w:p>
        </w:tc>
        <w:tc>
          <w:tcPr>
            <w:tcW w:w="0" w:type="auto"/>
            <w:tcBorders>
              <w:top w:val="nil"/>
              <w:left w:val="nil"/>
              <w:bottom w:val="nil"/>
              <w:right w:val="nil"/>
            </w:tcBorders>
            <w:shd w:val="clear" w:color="000000" w:fill="FFFFFF"/>
            <w:hideMark/>
          </w:tcPr>
          <w:p w14:paraId="217DA5B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6C4BA2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000000" w:fill="FFFFFF"/>
            <w:hideMark/>
          </w:tcPr>
          <w:p w14:paraId="2CA49D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0.0808</w:t>
            </w:r>
          </w:p>
        </w:tc>
        <w:tc>
          <w:tcPr>
            <w:tcW w:w="0" w:type="auto"/>
            <w:tcBorders>
              <w:top w:val="nil"/>
              <w:left w:val="nil"/>
              <w:bottom w:val="nil"/>
              <w:right w:val="nil"/>
            </w:tcBorders>
            <w:shd w:val="clear" w:color="000000" w:fill="FFFFFF"/>
            <w:noWrap/>
            <w:hideMark/>
          </w:tcPr>
          <w:p w14:paraId="423C05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-0.0167</w:t>
            </w:r>
          </w:p>
        </w:tc>
        <w:tc>
          <w:tcPr>
            <w:tcW w:w="0" w:type="auto"/>
            <w:tcBorders>
              <w:top w:val="nil"/>
              <w:left w:val="nil"/>
              <w:bottom w:val="nil"/>
              <w:right w:val="nil"/>
            </w:tcBorders>
            <w:shd w:val="clear" w:color="000000" w:fill="FFFFFF"/>
            <w:noWrap/>
            <w:hideMark/>
          </w:tcPr>
          <w:p w14:paraId="13BB62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000000" w:fill="FFFFFF"/>
            <w:hideMark/>
          </w:tcPr>
          <w:p w14:paraId="16B180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r>
      <w:tr w:rsidR="008836A7" w:rsidRPr="005F7C3C" w14:paraId="157FAB61" w14:textId="77777777" w:rsidTr="008836A7">
        <w:trPr>
          <w:trHeight w:val="276"/>
        </w:trPr>
        <w:tc>
          <w:tcPr>
            <w:tcW w:w="0" w:type="auto"/>
            <w:tcBorders>
              <w:top w:val="nil"/>
              <w:left w:val="nil"/>
              <w:bottom w:val="nil"/>
              <w:right w:val="nil"/>
            </w:tcBorders>
            <w:shd w:val="clear" w:color="auto" w:fill="auto"/>
            <w:noWrap/>
            <w:hideMark/>
          </w:tcPr>
          <w:p w14:paraId="77A16C20"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CONSER_PCA</w:t>
            </w:r>
          </w:p>
        </w:tc>
        <w:tc>
          <w:tcPr>
            <w:tcW w:w="0" w:type="auto"/>
            <w:tcBorders>
              <w:top w:val="nil"/>
              <w:left w:val="nil"/>
              <w:bottom w:val="nil"/>
              <w:right w:val="nil"/>
            </w:tcBorders>
            <w:shd w:val="clear" w:color="000000" w:fill="FFFFFF"/>
            <w:hideMark/>
          </w:tcPr>
          <w:p w14:paraId="06BDF5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073620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2584F7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20.361</w:t>
            </w:r>
          </w:p>
        </w:tc>
        <w:tc>
          <w:tcPr>
            <w:tcW w:w="0" w:type="auto"/>
            <w:tcBorders>
              <w:top w:val="nil"/>
              <w:left w:val="nil"/>
              <w:bottom w:val="nil"/>
              <w:right w:val="nil"/>
            </w:tcBorders>
            <w:shd w:val="clear" w:color="000000" w:fill="FFFFFF"/>
            <w:noWrap/>
            <w:hideMark/>
          </w:tcPr>
          <w:p w14:paraId="790FD4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-2.4059</w:t>
            </w:r>
          </w:p>
        </w:tc>
        <w:tc>
          <w:tcPr>
            <w:tcW w:w="0" w:type="auto"/>
            <w:tcBorders>
              <w:top w:val="nil"/>
              <w:left w:val="nil"/>
              <w:bottom w:val="nil"/>
              <w:right w:val="nil"/>
            </w:tcBorders>
            <w:shd w:val="clear" w:color="000000" w:fill="FFFFFF"/>
            <w:noWrap/>
            <w:hideMark/>
          </w:tcPr>
          <w:p w14:paraId="6F4624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-0.0765</w:t>
            </w:r>
          </w:p>
        </w:tc>
        <w:tc>
          <w:tcPr>
            <w:tcW w:w="0" w:type="auto"/>
            <w:tcBorders>
              <w:top w:val="nil"/>
              <w:left w:val="nil"/>
              <w:bottom w:val="nil"/>
              <w:right w:val="nil"/>
            </w:tcBorders>
            <w:shd w:val="clear" w:color="000000" w:fill="FFFFFF"/>
            <w:hideMark/>
          </w:tcPr>
          <w:p w14:paraId="70EB7F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2.5210</w:t>
            </w:r>
          </w:p>
        </w:tc>
      </w:tr>
      <w:tr w:rsidR="008836A7" w:rsidRPr="005F7C3C" w14:paraId="5773C780" w14:textId="77777777" w:rsidTr="008836A7">
        <w:trPr>
          <w:trHeight w:val="276"/>
        </w:trPr>
        <w:tc>
          <w:tcPr>
            <w:tcW w:w="0" w:type="auto"/>
            <w:tcBorders>
              <w:top w:val="nil"/>
              <w:left w:val="nil"/>
              <w:bottom w:val="nil"/>
              <w:right w:val="nil"/>
            </w:tcBorders>
            <w:shd w:val="clear" w:color="auto" w:fill="auto"/>
            <w:noWrap/>
            <w:hideMark/>
          </w:tcPr>
          <w:p w14:paraId="5DDE6C3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FWDLOOK(Present)</w:t>
            </w:r>
          </w:p>
        </w:tc>
        <w:tc>
          <w:tcPr>
            <w:tcW w:w="0" w:type="auto"/>
            <w:tcBorders>
              <w:top w:val="nil"/>
              <w:left w:val="nil"/>
              <w:bottom w:val="nil"/>
              <w:right w:val="nil"/>
            </w:tcBorders>
            <w:shd w:val="clear" w:color="000000" w:fill="FFFFFF"/>
            <w:hideMark/>
          </w:tcPr>
          <w:p w14:paraId="38E9B0B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82CAA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0.2105</w:t>
            </w:r>
          </w:p>
        </w:tc>
        <w:tc>
          <w:tcPr>
            <w:tcW w:w="0" w:type="auto"/>
            <w:tcBorders>
              <w:top w:val="nil"/>
              <w:left w:val="nil"/>
              <w:bottom w:val="nil"/>
              <w:right w:val="nil"/>
            </w:tcBorders>
            <w:shd w:val="clear" w:color="000000" w:fill="FFFFFF"/>
            <w:hideMark/>
          </w:tcPr>
          <w:p w14:paraId="6495EA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000000" w:fill="FFFFFF"/>
            <w:hideMark/>
          </w:tcPr>
          <w:p w14:paraId="665CE54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0.1627</w:t>
            </w:r>
          </w:p>
        </w:tc>
        <w:tc>
          <w:tcPr>
            <w:tcW w:w="0" w:type="auto"/>
            <w:tcBorders>
              <w:top w:val="nil"/>
              <w:left w:val="nil"/>
              <w:bottom w:val="nil"/>
              <w:right w:val="nil"/>
            </w:tcBorders>
            <w:shd w:val="clear" w:color="000000" w:fill="FFFFFF"/>
            <w:hideMark/>
          </w:tcPr>
          <w:p w14:paraId="14D4C0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0.2083</w:t>
            </w:r>
          </w:p>
        </w:tc>
        <w:tc>
          <w:tcPr>
            <w:tcW w:w="0" w:type="auto"/>
            <w:tcBorders>
              <w:top w:val="nil"/>
              <w:left w:val="nil"/>
              <w:bottom w:val="nil"/>
              <w:right w:val="nil"/>
            </w:tcBorders>
            <w:shd w:val="clear" w:color="000000" w:fill="FFFFFF"/>
            <w:hideMark/>
          </w:tcPr>
          <w:p w14:paraId="40F6CF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0.2545</w:t>
            </w:r>
          </w:p>
        </w:tc>
      </w:tr>
      <w:tr w:rsidR="008836A7" w:rsidRPr="005F7C3C" w14:paraId="7D902DD9" w14:textId="77777777" w:rsidTr="008836A7">
        <w:trPr>
          <w:trHeight w:val="276"/>
        </w:trPr>
        <w:tc>
          <w:tcPr>
            <w:tcW w:w="0" w:type="auto"/>
            <w:tcBorders>
              <w:top w:val="nil"/>
              <w:left w:val="nil"/>
              <w:bottom w:val="nil"/>
              <w:right w:val="nil"/>
            </w:tcBorders>
            <w:shd w:val="clear" w:color="auto" w:fill="auto"/>
            <w:noWrap/>
            <w:hideMark/>
          </w:tcPr>
          <w:p w14:paraId="0FB9560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FWDLOOK(Response)</w:t>
            </w:r>
          </w:p>
        </w:tc>
        <w:tc>
          <w:tcPr>
            <w:tcW w:w="0" w:type="auto"/>
            <w:tcBorders>
              <w:top w:val="nil"/>
              <w:left w:val="nil"/>
              <w:bottom w:val="nil"/>
              <w:right w:val="nil"/>
            </w:tcBorders>
            <w:shd w:val="clear" w:color="000000" w:fill="FFFFFF"/>
            <w:hideMark/>
          </w:tcPr>
          <w:p w14:paraId="54267D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3AE1B3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0.0676</w:t>
            </w:r>
          </w:p>
        </w:tc>
        <w:tc>
          <w:tcPr>
            <w:tcW w:w="0" w:type="auto"/>
            <w:tcBorders>
              <w:top w:val="nil"/>
              <w:left w:val="nil"/>
              <w:bottom w:val="nil"/>
              <w:right w:val="nil"/>
            </w:tcBorders>
            <w:shd w:val="clear" w:color="000000" w:fill="FFFFFF"/>
            <w:hideMark/>
          </w:tcPr>
          <w:p w14:paraId="29581B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0.0959</w:t>
            </w:r>
          </w:p>
        </w:tc>
        <w:tc>
          <w:tcPr>
            <w:tcW w:w="0" w:type="auto"/>
            <w:tcBorders>
              <w:top w:val="nil"/>
              <w:left w:val="nil"/>
              <w:bottom w:val="nil"/>
              <w:right w:val="nil"/>
            </w:tcBorders>
            <w:shd w:val="clear" w:color="000000" w:fill="FFFFFF"/>
            <w:hideMark/>
          </w:tcPr>
          <w:p w14:paraId="3427A30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FA569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7C0E14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0.1270</w:t>
            </w:r>
          </w:p>
        </w:tc>
      </w:tr>
      <w:tr w:rsidR="008836A7" w:rsidRPr="005F7C3C" w14:paraId="2C1F6857" w14:textId="77777777" w:rsidTr="008836A7">
        <w:trPr>
          <w:trHeight w:val="276"/>
        </w:trPr>
        <w:tc>
          <w:tcPr>
            <w:tcW w:w="0" w:type="auto"/>
            <w:tcBorders>
              <w:top w:val="nil"/>
              <w:left w:val="nil"/>
              <w:bottom w:val="nil"/>
              <w:right w:val="nil"/>
            </w:tcBorders>
            <w:shd w:val="clear" w:color="auto" w:fill="auto"/>
            <w:noWrap/>
            <w:hideMark/>
          </w:tcPr>
          <w:p w14:paraId="1F3BC6B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000000" w:fill="FFFFFF"/>
            <w:hideMark/>
          </w:tcPr>
          <w:p w14:paraId="5343D9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CEEE2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8.3533</w:t>
            </w:r>
          </w:p>
        </w:tc>
        <w:tc>
          <w:tcPr>
            <w:tcW w:w="0" w:type="auto"/>
            <w:tcBorders>
              <w:top w:val="nil"/>
              <w:left w:val="nil"/>
              <w:bottom w:val="nil"/>
              <w:right w:val="nil"/>
            </w:tcBorders>
            <w:shd w:val="clear" w:color="000000" w:fill="FFFFFF"/>
            <w:hideMark/>
          </w:tcPr>
          <w:p w14:paraId="23852A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1.6225</w:t>
            </w:r>
          </w:p>
        </w:tc>
        <w:tc>
          <w:tcPr>
            <w:tcW w:w="0" w:type="auto"/>
            <w:tcBorders>
              <w:top w:val="nil"/>
              <w:left w:val="nil"/>
              <w:bottom w:val="nil"/>
              <w:right w:val="nil"/>
            </w:tcBorders>
            <w:shd w:val="clear" w:color="000000" w:fill="FFFFFF"/>
            <w:hideMark/>
          </w:tcPr>
          <w:p w14:paraId="46C48F5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7.2087</w:t>
            </w:r>
          </w:p>
        </w:tc>
        <w:tc>
          <w:tcPr>
            <w:tcW w:w="0" w:type="auto"/>
            <w:tcBorders>
              <w:top w:val="nil"/>
              <w:left w:val="nil"/>
              <w:bottom w:val="nil"/>
              <w:right w:val="nil"/>
            </w:tcBorders>
            <w:shd w:val="clear" w:color="000000" w:fill="FFFFFF"/>
            <w:hideMark/>
          </w:tcPr>
          <w:p w14:paraId="7DBCB7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8.3200</w:t>
            </w:r>
          </w:p>
        </w:tc>
        <w:tc>
          <w:tcPr>
            <w:tcW w:w="0" w:type="auto"/>
            <w:tcBorders>
              <w:top w:val="nil"/>
              <w:left w:val="nil"/>
              <w:bottom w:val="nil"/>
              <w:right w:val="nil"/>
            </w:tcBorders>
            <w:shd w:val="clear" w:color="000000" w:fill="FFFFFF"/>
            <w:hideMark/>
          </w:tcPr>
          <w:p w14:paraId="4BD100F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9.4363</w:t>
            </w:r>
          </w:p>
        </w:tc>
      </w:tr>
      <w:tr w:rsidR="008836A7" w:rsidRPr="005F7C3C" w14:paraId="2E37BED3" w14:textId="77777777" w:rsidTr="008836A7">
        <w:trPr>
          <w:trHeight w:val="276"/>
        </w:trPr>
        <w:tc>
          <w:tcPr>
            <w:tcW w:w="0" w:type="auto"/>
            <w:tcBorders>
              <w:top w:val="nil"/>
              <w:left w:val="nil"/>
              <w:bottom w:val="nil"/>
              <w:right w:val="nil"/>
            </w:tcBorders>
            <w:shd w:val="clear" w:color="auto" w:fill="auto"/>
            <w:noWrap/>
            <w:hideMark/>
          </w:tcPr>
          <w:p w14:paraId="4BF28C3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000000" w:fill="FFFFFF"/>
            <w:hideMark/>
          </w:tcPr>
          <w:p w14:paraId="32F95C0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34BD6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3.9453</w:t>
            </w:r>
          </w:p>
        </w:tc>
        <w:tc>
          <w:tcPr>
            <w:tcW w:w="0" w:type="auto"/>
            <w:tcBorders>
              <w:top w:val="nil"/>
              <w:left w:val="nil"/>
              <w:bottom w:val="nil"/>
              <w:right w:val="nil"/>
            </w:tcBorders>
            <w:shd w:val="clear" w:color="000000" w:fill="FFFFFF"/>
            <w:hideMark/>
          </w:tcPr>
          <w:p w14:paraId="2F8300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15.446</w:t>
            </w:r>
          </w:p>
        </w:tc>
        <w:tc>
          <w:tcPr>
            <w:tcW w:w="0" w:type="auto"/>
            <w:tcBorders>
              <w:top w:val="nil"/>
              <w:left w:val="nil"/>
              <w:bottom w:val="nil"/>
              <w:right w:val="nil"/>
            </w:tcBorders>
            <w:shd w:val="clear" w:color="000000" w:fill="FFFFFF"/>
            <w:hideMark/>
          </w:tcPr>
          <w:p w14:paraId="4FAE53E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1.6364</w:t>
            </w:r>
          </w:p>
        </w:tc>
        <w:tc>
          <w:tcPr>
            <w:tcW w:w="0" w:type="auto"/>
            <w:tcBorders>
              <w:top w:val="nil"/>
              <w:left w:val="nil"/>
              <w:bottom w:val="nil"/>
              <w:right w:val="nil"/>
            </w:tcBorders>
            <w:shd w:val="clear" w:color="000000" w:fill="FFFFFF"/>
            <w:hideMark/>
          </w:tcPr>
          <w:p w14:paraId="6DD5698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2.4915</w:t>
            </w:r>
          </w:p>
        </w:tc>
        <w:tc>
          <w:tcPr>
            <w:tcW w:w="0" w:type="auto"/>
            <w:tcBorders>
              <w:top w:val="nil"/>
              <w:left w:val="nil"/>
              <w:bottom w:val="nil"/>
              <w:right w:val="nil"/>
            </w:tcBorders>
            <w:shd w:val="clear" w:color="000000" w:fill="FFFFFF"/>
            <w:hideMark/>
          </w:tcPr>
          <w:p w14:paraId="2F3F65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3.9280</w:t>
            </w:r>
          </w:p>
        </w:tc>
      </w:tr>
      <w:tr w:rsidR="008836A7" w:rsidRPr="005F7C3C" w14:paraId="67BAB40B" w14:textId="77777777" w:rsidTr="008836A7">
        <w:trPr>
          <w:trHeight w:val="276"/>
        </w:trPr>
        <w:tc>
          <w:tcPr>
            <w:tcW w:w="0" w:type="auto"/>
            <w:tcBorders>
              <w:top w:val="nil"/>
              <w:left w:val="nil"/>
              <w:bottom w:val="nil"/>
              <w:right w:val="nil"/>
            </w:tcBorders>
            <w:shd w:val="clear" w:color="auto" w:fill="auto"/>
            <w:noWrap/>
            <w:hideMark/>
          </w:tcPr>
          <w:p w14:paraId="2BA0756D"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000000" w:fill="FFFFFF"/>
            <w:hideMark/>
          </w:tcPr>
          <w:p w14:paraId="45C5A91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AF4D7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0.2201</w:t>
            </w:r>
          </w:p>
        </w:tc>
        <w:tc>
          <w:tcPr>
            <w:tcW w:w="0" w:type="auto"/>
            <w:tcBorders>
              <w:top w:val="nil"/>
              <w:left w:val="nil"/>
              <w:bottom w:val="nil"/>
              <w:right w:val="nil"/>
            </w:tcBorders>
            <w:shd w:val="clear" w:color="000000" w:fill="FFFFFF"/>
            <w:hideMark/>
          </w:tcPr>
          <w:p w14:paraId="2DEA3B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0.1657</w:t>
            </w:r>
          </w:p>
        </w:tc>
        <w:tc>
          <w:tcPr>
            <w:tcW w:w="0" w:type="auto"/>
            <w:tcBorders>
              <w:top w:val="nil"/>
              <w:left w:val="nil"/>
              <w:bottom w:val="nil"/>
              <w:right w:val="nil"/>
            </w:tcBorders>
            <w:shd w:val="clear" w:color="000000" w:fill="FFFFFF"/>
            <w:hideMark/>
          </w:tcPr>
          <w:p w14:paraId="0DFA79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0.0844</w:t>
            </w:r>
          </w:p>
        </w:tc>
        <w:tc>
          <w:tcPr>
            <w:tcW w:w="0" w:type="auto"/>
            <w:tcBorders>
              <w:top w:val="nil"/>
              <w:left w:val="nil"/>
              <w:bottom w:val="nil"/>
              <w:right w:val="nil"/>
            </w:tcBorders>
            <w:shd w:val="clear" w:color="000000" w:fill="FFFFFF"/>
            <w:hideMark/>
          </w:tcPr>
          <w:p w14:paraId="5D23F7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0.2129</w:t>
            </w:r>
          </w:p>
        </w:tc>
        <w:tc>
          <w:tcPr>
            <w:tcW w:w="0" w:type="auto"/>
            <w:tcBorders>
              <w:top w:val="nil"/>
              <w:left w:val="nil"/>
              <w:bottom w:val="nil"/>
              <w:right w:val="nil"/>
            </w:tcBorders>
            <w:shd w:val="clear" w:color="000000" w:fill="FFFFFF"/>
            <w:hideMark/>
          </w:tcPr>
          <w:p w14:paraId="47ECEF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0.3277</w:t>
            </w:r>
          </w:p>
        </w:tc>
      </w:tr>
      <w:tr w:rsidR="008836A7" w:rsidRPr="005F7C3C" w14:paraId="0BE728D8" w14:textId="77777777" w:rsidTr="008836A7">
        <w:trPr>
          <w:trHeight w:val="276"/>
        </w:trPr>
        <w:tc>
          <w:tcPr>
            <w:tcW w:w="0" w:type="auto"/>
            <w:tcBorders>
              <w:top w:val="nil"/>
              <w:left w:val="nil"/>
              <w:bottom w:val="nil"/>
              <w:right w:val="nil"/>
            </w:tcBorders>
            <w:shd w:val="clear" w:color="auto" w:fill="auto"/>
            <w:noWrap/>
            <w:hideMark/>
          </w:tcPr>
          <w:p w14:paraId="009A042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000000" w:fill="FFFFFF"/>
            <w:hideMark/>
          </w:tcPr>
          <w:p w14:paraId="2F9D42A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F13B4C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5.2287</w:t>
            </w:r>
          </w:p>
        </w:tc>
        <w:tc>
          <w:tcPr>
            <w:tcW w:w="0" w:type="auto"/>
            <w:tcBorders>
              <w:top w:val="nil"/>
              <w:left w:val="nil"/>
              <w:bottom w:val="nil"/>
              <w:right w:val="nil"/>
            </w:tcBorders>
            <w:shd w:val="clear" w:color="000000" w:fill="FFFFFF"/>
            <w:hideMark/>
          </w:tcPr>
          <w:p w14:paraId="720AF1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0.5593</w:t>
            </w:r>
          </w:p>
        </w:tc>
        <w:tc>
          <w:tcPr>
            <w:tcW w:w="0" w:type="auto"/>
            <w:tcBorders>
              <w:top w:val="nil"/>
              <w:left w:val="nil"/>
              <w:bottom w:val="nil"/>
              <w:right w:val="nil"/>
            </w:tcBorders>
            <w:shd w:val="clear" w:color="000000" w:fill="FFFFFF"/>
            <w:hideMark/>
          </w:tcPr>
          <w:p w14:paraId="28E63E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5.0999</w:t>
            </w:r>
          </w:p>
        </w:tc>
        <w:tc>
          <w:tcPr>
            <w:tcW w:w="0" w:type="auto"/>
            <w:tcBorders>
              <w:top w:val="nil"/>
              <w:left w:val="nil"/>
              <w:bottom w:val="nil"/>
              <w:right w:val="nil"/>
            </w:tcBorders>
            <w:shd w:val="clear" w:color="000000" w:fill="FFFFFF"/>
            <w:hideMark/>
          </w:tcPr>
          <w:p w14:paraId="23FD9D1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5.3613</w:t>
            </w:r>
          </w:p>
        </w:tc>
        <w:tc>
          <w:tcPr>
            <w:tcW w:w="0" w:type="auto"/>
            <w:tcBorders>
              <w:top w:val="nil"/>
              <w:left w:val="nil"/>
              <w:bottom w:val="nil"/>
              <w:right w:val="nil"/>
            </w:tcBorders>
            <w:shd w:val="clear" w:color="000000" w:fill="FFFFFF"/>
            <w:hideMark/>
          </w:tcPr>
          <w:p w14:paraId="5380B6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5.5255</w:t>
            </w:r>
          </w:p>
        </w:tc>
      </w:tr>
      <w:tr w:rsidR="008836A7" w:rsidRPr="005F7C3C" w14:paraId="4E9E7BDA" w14:textId="77777777" w:rsidTr="008836A7">
        <w:trPr>
          <w:trHeight w:val="276"/>
        </w:trPr>
        <w:tc>
          <w:tcPr>
            <w:tcW w:w="0" w:type="auto"/>
            <w:tcBorders>
              <w:top w:val="nil"/>
              <w:left w:val="nil"/>
              <w:bottom w:val="nil"/>
              <w:right w:val="nil"/>
            </w:tcBorders>
            <w:shd w:val="clear" w:color="auto" w:fill="auto"/>
            <w:noWrap/>
            <w:hideMark/>
          </w:tcPr>
          <w:p w14:paraId="3E16AB1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000000" w:fill="FFFFFF"/>
            <w:hideMark/>
          </w:tcPr>
          <w:p w14:paraId="06AEEC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FC5CE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000000" w:fill="FFFFFF"/>
            <w:hideMark/>
          </w:tcPr>
          <w:p w14:paraId="629D0B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0.0244</w:t>
            </w:r>
          </w:p>
        </w:tc>
        <w:tc>
          <w:tcPr>
            <w:tcW w:w="0" w:type="auto"/>
            <w:tcBorders>
              <w:top w:val="nil"/>
              <w:left w:val="nil"/>
              <w:bottom w:val="nil"/>
              <w:right w:val="nil"/>
            </w:tcBorders>
            <w:shd w:val="clear" w:color="000000" w:fill="FFFFFF"/>
            <w:hideMark/>
          </w:tcPr>
          <w:p w14:paraId="3DD902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0.0248</w:t>
            </w:r>
          </w:p>
        </w:tc>
        <w:tc>
          <w:tcPr>
            <w:tcW w:w="0" w:type="auto"/>
            <w:tcBorders>
              <w:top w:val="nil"/>
              <w:left w:val="nil"/>
              <w:bottom w:val="nil"/>
              <w:right w:val="nil"/>
            </w:tcBorders>
            <w:shd w:val="clear" w:color="000000" w:fill="FFFFFF"/>
            <w:hideMark/>
          </w:tcPr>
          <w:p w14:paraId="494EEB7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0.0349</w:t>
            </w:r>
          </w:p>
        </w:tc>
        <w:tc>
          <w:tcPr>
            <w:tcW w:w="0" w:type="auto"/>
            <w:tcBorders>
              <w:top w:val="nil"/>
              <w:left w:val="nil"/>
              <w:bottom w:val="nil"/>
              <w:right w:val="nil"/>
            </w:tcBorders>
            <w:shd w:val="clear" w:color="000000" w:fill="FFFFFF"/>
            <w:hideMark/>
          </w:tcPr>
          <w:p w14:paraId="73ACFE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0.0496</w:t>
            </w:r>
          </w:p>
        </w:tc>
      </w:tr>
      <w:tr w:rsidR="008836A7" w:rsidRPr="005F7C3C" w14:paraId="5CCC6086" w14:textId="77777777" w:rsidTr="008836A7">
        <w:trPr>
          <w:trHeight w:val="276"/>
        </w:trPr>
        <w:tc>
          <w:tcPr>
            <w:tcW w:w="0" w:type="auto"/>
            <w:tcBorders>
              <w:top w:val="nil"/>
              <w:left w:val="nil"/>
              <w:bottom w:val="nil"/>
              <w:right w:val="nil"/>
            </w:tcBorders>
            <w:shd w:val="clear" w:color="auto" w:fill="auto"/>
            <w:noWrap/>
            <w:hideMark/>
          </w:tcPr>
          <w:p w14:paraId="31022CD8"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000000" w:fill="FFFFFF"/>
            <w:hideMark/>
          </w:tcPr>
          <w:p w14:paraId="3B7F1B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164957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21.703</w:t>
            </w:r>
          </w:p>
        </w:tc>
        <w:tc>
          <w:tcPr>
            <w:tcW w:w="0" w:type="auto"/>
            <w:tcBorders>
              <w:top w:val="nil"/>
              <w:left w:val="nil"/>
              <w:bottom w:val="nil"/>
              <w:right w:val="nil"/>
            </w:tcBorders>
            <w:shd w:val="clear" w:color="000000" w:fill="FFFFFF"/>
            <w:hideMark/>
          </w:tcPr>
          <w:p w14:paraId="16AC34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16.903</w:t>
            </w:r>
          </w:p>
        </w:tc>
        <w:tc>
          <w:tcPr>
            <w:tcW w:w="0" w:type="auto"/>
            <w:tcBorders>
              <w:top w:val="nil"/>
              <w:left w:val="nil"/>
              <w:bottom w:val="nil"/>
              <w:right w:val="nil"/>
            </w:tcBorders>
            <w:shd w:val="clear" w:color="000000" w:fill="FFFFFF"/>
            <w:hideMark/>
          </w:tcPr>
          <w:p w14:paraId="675FA5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nil"/>
              <w:right w:val="nil"/>
            </w:tcBorders>
            <w:shd w:val="clear" w:color="000000" w:fill="FFFFFF"/>
            <w:hideMark/>
          </w:tcPr>
          <w:p w14:paraId="5B61A65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17.000</w:t>
            </w:r>
          </w:p>
        </w:tc>
        <w:tc>
          <w:tcPr>
            <w:tcW w:w="0" w:type="auto"/>
            <w:tcBorders>
              <w:top w:val="nil"/>
              <w:left w:val="nil"/>
              <w:bottom w:val="nil"/>
              <w:right w:val="nil"/>
            </w:tcBorders>
            <w:shd w:val="clear" w:color="000000" w:fill="FFFFFF"/>
            <w:hideMark/>
          </w:tcPr>
          <w:p w14:paraId="4C365E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28.000</w:t>
            </w:r>
          </w:p>
        </w:tc>
      </w:tr>
      <w:tr w:rsidR="008836A7" w:rsidRPr="005F7C3C" w14:paraId="085255A3" w14:textId="77777777" w:rsidTr="008836A7">
        <w:trPr>
          <w:trHeight w:val="276"/>
        </w:trPr>
        <w:tc>
          <w:tcPr>
            <w:tcW w:w="0" w:type="auto"/>
            <w:tcBorders>
              <w:top w:val="nil"/>
              <w:left w:val="nil"/>
              <w:bottom w:val="nil"/>
              <w:right w:val="nil"/>
            </w:tcBorders>
            <w:shd w:val="clear" w:color="auto" w:fill="auto"/>
            <w:noWrap/>
            <w:hideMark/>
          </w:tcPr>
          <w:p w14:paraId="279FE97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000000" w:fill="FFFFFF"/>
            <w:hideMark/>
          </w:tcPr>
          <w:p w14:paraId="3CCD676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F05CC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0.3212</w:t>
            </w:r>
          </w:p>
        </w:tc>
        <w:tc>
          <w:tcPr>
            <w:tcW w:w="0" w:type="auto"/>
            <w:tcBorders>
              <w:top w:val="nil"/>
              <w:left w:val="nil"/>
              <w:bottom w:val="nil"/>
              <w:right w:val="nil"/>
            </w:tcBorders>
            <w:shd w:val="clear" w:color="000000" w:fill="FFFFFF"/>
            <w:hideMark/>
          </w:tcPr>
          <w:p w14:paraId="0C93F53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0.2281</w:t>
            </w:r>
          </w:p>
        </w:tc>
        <w:tc>
          <w:tcPr>
            <w:tcW w:w="0" w:type="auto"/>
            <w:tcBorders>
              <w:top w:val="nil"/>
              <w:left w:val="nil"/>
              <w:bottom w:val="nil"/>
              <w:right w:val="nil"/>
            </w:tcBorders>
            <w:shd w:val="clear" w:color="000000" w:fill="FFFFFF"/>
            <w:hideMark/>
          </w:tcPr>
          <w:p w14:paraId="233249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0.1431</w:t>
            </w:r>
          </w:p>
        </w:tc>
        <w:tc>
          <w:tcPr>
            <w:tcW w:w="0" w:type="auto"/>
            <w:tcBorders>
              <w:top w:val="nil"/>
              <w:left w:val="nil"/>
              <w:bottom w:val="nil"/>
              <w:right w:val="nil"/>
            </w:tcBorders>
            <w:shd w:val="clear" w:color="000000" w:fill="FFFFFF"/>
            <w:hideMark/>
          </w:tcPr>
          <w:p w14:paraId="5B2BE87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0.2549</w:t>
            </w:r>
          </w:p>
        </w:tc>
        <w:tc>
          <w:tcPr>
            <w:tcW w:w="0" w:type="auto"/>
            <w:tcBorders>
              <w:top w:val="nil"/>
              <w:left w:val="nil"/>
              <w:bottom w:val="nil"/>
              <w:right w:val="nil"/>
            </w:tcBorders>
            <w:shd w:val="clear" w:color="000000" w:fill="FFFFFF"/>
            <w:hideMark/>
          </w:tcPr>
          <w:p w14:paraId="3E817A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0.4482</w:t>
            </w:r>
          </w:p>
        </w:tc>
      </w:tr>
      <w:tr w:rsidR="008836A7" w:rsidRPr="005F7C3C" w14:paraId="0E081BFB" w14:textId="77777777" w:rsidTr="008836A7">
        <w:trPr>
          <w:trHeight w:val="276"/>
        </w:trPr>
        <w:tc>
          <w:tcPr>
            <w:tcW w:w="0" w:type="auto"/>
            <w:tcBorders>
              <w:top w:val="nil"/>
              <w:left w:val="nil"/>
              <w:bottom w:val="nil"/>
              <w:right w:val="nil"/>
            </w:tcBorders>
            <w:shd w:val="clear" w:color="auto" w:fill="auto"/>
            <w:noWrap/>
            <w:hideMark/>
          </w:tcPr>
          <w:p w14:paraId="59AC0549"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000000" w:fill="FFFFFF"/>
            <w:hideMark/>
          </w:tcPr>
          <w:p w14:paraId="3753AEC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206468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470D95C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0.0245</w:t>
            </w:r>
          </w:p>
        </w:tc>
        <w:tc>
          <w:tcPr>
            <w:tcW w:w="0" w:type="auto"/>
            <w:tcBorders>
              <w:top w:val="nil"/>
              <w:left w:val="nil"/>
              <w:bottom w:val="nil"/>
              <w:right w:val="nil"/>
            </w:tcBorders>
            <w:shd w:val="clear" w:color="000000" w:fill="FFFFFF"/>
            <w:noWrap/>
            <w:hideMark/>
          </w:tcPr>
          <w:p w14:paraId="6F3848E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000000" w:fill="FFFFFF"/>
            <w:hideMark/>
          </w:tcPr>
          <w:p w14:paraId="5D520D6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000000" w:fill="FFFFFF"/>
            <w:hideMark/>
          </w:tcPr>
          <w:p w14:paraId="2FD80A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r>
      <w:tr w:rsidR="008836A7" w:rsidRPr="005F7C3C" w14:paraId="751C3857" w14:textId="77777777" w:rsidTr="008836A7">
        <w:trPr>
          <w:trHeight w:val="276"/>
        </w:trPr>
        <w:tc>
          <w:tcPr>
            <w:tcW w:w="0" w:type="auto"/>
            <w:tcBorders>
              <w:top w:val="nil"/>
              <w:left w:val="nil"/>
              <w:bottom w:val="nil"/>
              <w:right w:val="nil"/>
            </w:tcBorders>
            <w:shd w:val="clear" w:color="auto" w:fill="auto"/>
            <w:noWrap/>
            <w:hideMark/>
          </w:tcPr>
          <w:p w14:paraId="68261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000000" w:fill="FFFFFF"/>
            <w:hideMark/>
          </w:tcPr>
          <w:p w14:paraId="184637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8C55E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26C5E9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0.0137</w:t>
            </w:r>
          </w:p>
        </w:tc>
        <w:tc>
          <w:tcPr>
            <w:tcW w:w="0" w:type="auto"/>
            <w:tcBorders>
              <w:top w:val="nil"/>
              <w:left w:val="nil"/>
              <w:bottom w:val="nil"/>
              <w:right w:val="nil"/>
            </w:tcBorders>
            <w:shd w:val="clear" w:color="000000" w:fill="FFFFFF"/>
            <w:noWrap/>
            <w:hideMark/>
          </w:tcPr>
          <w:p w14:paraId="11ADE12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56A289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3481DD8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r>
      <w:tr w:rsidR="008836A7" w:rsidRPr="005F7C3C" w14:paraId="2F7E5AC8" w14:textId="77777777" w:rsidTr="008836A7">
        <w:trPr>
          <w:trHeight w:val="276"/>
        </w:trPr>
        <w:tc>
          <w:tcPr>
            <w:tcW w:w="0" w:type="auto"/>
            <w:tcBorders>
              <w:top w:val="nil"/>
              <w:left w:val="nil"/>
              <w:bottom w:val="nil"/>
              <w:right w:val="nil"/>
            </w:tcBorders>
            <w:shd w:val="clear" w:color="auto" w:fill="auto"/>
            <w:noWrap/>
            <w:hideMark/>
          </w:tcPr>
          <w:p w14:paraId="56AA599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000000" w:fill="FFFFFF"/>
            <w:hideMark/>
          </w:tcPr>
          <w:p w14:paraId="603AE22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038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0.2142</w:t>
            </w:r>
          </w:p>
        </w:tc>
        <w:tc>
          <w:tcPr>
            <w:tcW w:w="0" w:type="auto"/>
            <w:tcBorders>
              <w:top w:val="nil"/>
              <w:left w:val="nil"/>
              <w:bottom w:val="nil"/>
              <w:right w:val="nil"/>
            </w:tcBorders>
            <w:shd w:val="clear" w:color="000000" w:fill="FFFFFF"/>
            <w:hideMark/>
          </w:tcPr>
          <w:p w14:paraId="7903D0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0.4103</w:t>
            </w:r>
          </w:p>
        </w:tc>
        <w:tc>
          <w:tcPr>
            <w:tcW w:w="0" w:type="auto"/>
            <w:tcBorders>
              <w:top w:val="nil"/>
              <w:left w:val="nil"/>
              <w:bottom w:val="nil"/>
              <w:right w:val="nil"/>
            </w:tcBorders>
            <w:shd w:val="clear" w:color="000000" w:fill="FFFFFF"/>
            <w:hideMark/>
          </w:tcPr>
          <w:p w14:paraId="225837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D4E9D7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BFB37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r>
      <w:tr w:rsidR="008836A7" w:rsidRPr="005F7C3C" w14:paraId="54F64748" w14:textId="77777777" w:rsidTr="008836A7">
        <w:trPr>
          <w:trHeight w:val="276"/>
        </w:trPr>
        <w:tc>
          <w:tcPr>
            <w:tcW w:w="0" w:type="auto"/>
            <w:tcBorders>
              <w:top w:val="nil"/>
              <w:left w:val="nil"/>
              <w:bottom w:val="nil"/>
              <w:right w:val="nil"/>
            </w:tcBorders>
            <w:shd w:val="clear" w:color="auto" w:fill="auto"/>
            <w:noWrap/>
            <w:hideMark/>
          </w:tcPr>
          <w:p w14:paraId="1D6D7F2E"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000000" w:fill="FFFFFF"/>
            <w:hideMark/>
          </w:tcPr>
          <w:p w14:paraId="0CB4B6F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0BDCF9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000000" w:fill="FFFFFF"/>
            <w:hideMark/>
          </w:tcPr>
          <w:p w14:paraId="3756C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0.0689</w:t>
            </w:r>
          </w:p>
        </w:tc>
        <w:tc>
          <w:tcPr>
            <w:tcW w:w="0" w:type="auto"/>
            <w:tcBorders>
              <w:top w:val="nil"/>
              <w:left w:val="nil"/>
              <w:bottom w:val="nil"/>
              <w:right w:val="nil"/>
            </w:tcBorders>
            <w:shd w:val="clear" w:color="000000" w:fill="FFFFFF"/>
            <w:noWrap/>
            <w:hideMark/>
          </w:tcPr>
          <w:p w14:paraId="17D0D82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-0.0321</w:t>
            </w:r>
          </w:p>
        </w:tc>
        <w:tc>
          <w:tcPr>
            <w:tcW w:w="0" w:type="auto"/>
            <w:tcBorders>
              <w:top w:val="nil"/>
              <w:left w:val="nil"/>
              <w:bottom w:val="nil"/>
              <w:right w:val="nil"/>
            </w:tcBorders>
            <w:shd w:val="clear" w:color="000000" w:fill="FFFFFF"/>
            <w:hideMark/>
          </w:tcPr>
          <w:p w14:paraId="4202543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000000" w:fill="FFFFFF"/>
            <w:hideMark/>
          </w:tcPr>
          <w:p w14:paraId="6E65DDA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0.0376</w:t>
            </w:r>
          </w:p>
        </w:tc>
      </w:tr>
      <w:tr w:rsidR="008836A7" w:rsidRPr="005F7C3C" w14:paraId="2D2C9444" w14:textId="77777777" w:rsidTr="008836A7">
        <w:trPr>
          <w:trHeight w:val="276"/>
        </w:trPr>
        <w:tc>
          <w:tcPr>
            <w:tcW w:w="0" w:type="auto"/>
            <w:tcBorders>
              <w:top w:val="nil"/>
              <w:left w:val="nil"/>
              <w:bottom w:val="nil"/>
              <w:right w:val="nil"/>
            </w:tcBorders>
            <w:shd w:val="clear" w:color="auto" w:fill="auto"/>
            <w:noWrap/>
            <w:vAlign w:val="center"/>
            <w:hideMark/>
          </w:tcPr>
          <w:p w14:paraId="071984B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000000" w:fill="FFFFFF"/>
            <w:hideMark/>
          </w:tcPr>
          <w:p w14:paraId="790598C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6C3EA6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0.0053</w:t>
            </w:r>
          </w:p>
        </w:tc>
        <w:tc>
          <w:tcPr>
            <w:tcW w:w="0" w:type="auto"/>
            <w:tcBorders>
              <w:top w:val="nil"/>
              <w:left w:val="nil"/>
              <w:bottom w:val="nil"/>
              <w:right w:val="nil"/>
            </w:tcBorders>
            <w:shd w:val="clear" w:color="000000" w:fill="FFFFFF"/>
            <w:hideMark/>
          </w:tcPr>
          <w:p w14:paraId="0503797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000000" w:fill="FFFFFF"/>
            <w:hideMark/>
          </w:tcPr>
          <w:p w14:paraId="71575E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nil"/>
              <w:right w:val="nil"/>
            </w:tcBorders>
            <w:shd w:val="clear" w:color="000000" w:fill="FFFFFF"/>
            <w:hideMark/>
          </w:tcPr>
          <w:p w14:paraId="3FDB2FD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0.0049</w:t>
            </w:r>
          </w:p>
        </w:tc>
        <w:tc>
          <w:tcPr>
            <w:tcW w:w="0" w:type="auto"/>
            <w:tcBorders>
              <w:top w:val="nil"/>
              <w:left w:val="nil"/>
              <w:bottom w:val="nil"/>
              <w:right w:val="nil"/>
            </w:tcBorders>
            <w:shd w:val="clear" w:color="000000" w:fill="FFFFFF"/>
            <w:hideMark/>
          </w:tcPr>
          <w:p w14:paraId="56C70C3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0.0064</w:t>
            </w:r>
          </w:p>
        </w:tc>
      </w:tr>
      <w:tr w:rsidR="008836A7" w:rsidRPr="005F7C3C" w14:paraId="3FDB79F4" w14:textId="77777777" w:rsidTr="008836A7">
        <w:trPr>
          <w:trHeight w:val="276"/>
        </w:trPr>
        <w:tc>
          <w:tcPr>
            <w:tcW w:w="0" w:type="auto"/>
            <w:tcBorders>
              <w:top w:val="nil"/>
              <w:left w:val="nil"/>
              <w:bottom w:val="nil"/>
              <w:right w:val="nil"/>
            </w:tcBorders>
            <w:shd w:val="clear" w:color="auto" w:fill="auto"/>
            <w:noWrap/>
            <w:vAlign w:val="center"/>
            <w:hideMark/>
          </w:tcPr>
          <w:p w14:paraId="2240B8F7"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000000" w:fill="FFFFFF"/>
            <w:hideMark/>
          </w:tcPr>
          <w:p w14:paraId="2804A1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4B136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2D84A1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000000" w:fill="FFFFFF"/>
            <w:hideMark/>
          </w:tcPr>
          <w:p w14:paraId="544490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577FA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46D6F75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r>
      <w:tr w:rsidR="008836A7" w:rsidRPr="005F7C3C" w14:paraId="6FC27293" w14:textId="77777777" w:rsidTr="008836A7">
        <w:trPr>
          <w:trHeight w:val="276"/>
        </w:trPr>
        <w:tc>
          <w:tcPr>
            <w:tcW w:w="0" w:type="auto"/>
            <w:tcBorders>
              <w:top w:val="nil"/>
              <w:left w:val="nil"/>
              <w:bottom w:val="nil"/>
              <w:right w:val="nil"/>
            </w:tcBorders>
            <w:shd w:val="clear" w:color="auto" w:fill="auto"/>
            <w:noWrap/>
            <w:vAlign w:val="center"/>
            <w:hideMark/>
          </w:tcPr>
          <w:p w14:paraId="61E26C1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000000" w:fill="FFFFFF"/>
            <w:hideMark/>
          </w:tcPr>
          <w:p w14:paraId="4658AD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309D11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0.0259</w:t>
            </w:r>
          </w:p>
        </w:tc>
        <w:tc>
          <w:tcPr>
            <w:tcW w:w="0" w:type="auto"/>
            <w:tcBorders>
              <w:top w:val="nil"/>
              <w:left w:val="nil"/>
              <w:bottom w:val="nil"/>
              <w:right w:val="nil"/>
            </w:tcBorders>
            <w:shd w:val="clear" w:color="000000" w:fill="FFFFFF"/>
            <w:hideMark/>
          </w:tcPr>
          <w:p w14:paraId="3AA6D31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0.0072</w:t>
            </w:r>
          </w:p>
        </w:tc>
        <w:tc>
          <w:tcPr>
            <w:tcW w:w="0" w:type="auto"/>
            <w:tcBorders>
              <w:top w:val="nil"/>
              <w:left w:val="nil"/>
              <w:bottom w:val="nil"/>
              <w:right w:val="nil"/>
            </w:tcBorders>
            <w:shd w:val="clear" w:color="000000" w:fill="FFFFFF"/>
            <w:hideMark/>
          </w:tcPr>
          <w:p w14:paraId="2CFC151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0.0211</w:t>
            </w:r>
          </w:p>
        </w:tc>
        <w:tc>
          <w:tcPr>
            <w:tcW w:w="0" w:type="auto"/>
            <w:tcBorders>
              <w:top w:val="nil"/>
              <w:left w:val="nil"/>
              <w:bottom w:val="nil"/>
              <w:right w:val="nil"/>
            </w:tcBorders>
            <w:shd w:val="clear" w:color="000000" w:fill="FFFFFF"/>
            <w:hideMark/>
          </w:tcPr>
          <w:p w14:paraId="5DC2962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000000" w:fill="FFFFFF"/>
            <w:hideMark/>
          </w:tcPr>
          <w:p w14:paraId="0D07653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0.0302</w:t>
            </w:r>
          </w:p>
        </w:tc>
      </w:tr>
      <w:tr w:rsidR="008836A7" w:rsidRPr="005F7C3C" w14:paraId="4165CF59" w14:textId="77777777" w:rsidTr="008836A7">
        <w:trPr>
          <w:trHeight w:val="276"/>
        </w:trPr>
        <w:tc>
          <w:tcPr>
            <w:tcW w:w="0" w:type="auto"/>
            <w:tcBorders>
              <w:top w:val="nil"/>
              <w:left w:val="nil"/>
              <w:bottom w:val="nil"/>
              <w:right w:val="nil"/>
            </w:tcBorders>
            <w:shd w:val="clear" w:color="auto" w:fill="auto"/>
            <w:noWrap/>
            <w:vAlign w:val="center"/>
            <w:hideMark/>
          </w:tcPr>
          <w:p w14:paraId="11B26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000000" w:fill="FFFFFF"/>
            <w:hideMark/>
          </w:tcPr>
          <w:p w14:paraId="041F2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ADB7E3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000000" w:fill="FFFFFF"/>
            <w:hideMark/>
          </w:tcPr>
          <w:p w14:paraId="1184D85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0.0118</w:t>
            </w:r>
          </w:p>
        </w:tc>
        <w:tc>
          <w:tcPr>
            <w:tcW w:w="0" w:type="auto"/>
            <w:tcBorders>
              <w:top w:val="nil"/>
              <w:left w:val="nil"/>
              <w:bottom w:val="nil"/>
              <w:right w:val="nil"/>
            </w:tcBorders>
            <w:shd w:val="clear" w:color="000000" w:fill="FFFFFF"/>
            <w:hideMark/>
          </w:tcPr>
          <w:p w14:paraId="306B96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A722A5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78CF3D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r>
      <w:tr w:rsidR="008836A7" w:rsidRPr="005F7C3C" w14:paraId="27699405" w14:textId="77777777" w:rsidTr="004A606C">
        <w:trPr>
          <w:trHeight w:val="276"/>
        </w:trPr>
        <w:tc>
          <w:tcPr>
            <w:tcW w:w="0" w:type="auto"/>
            <w:tcBorders>
              <w:top w:val="nil"/>
              <w:left w:val="nil"/>
              <w:right w:val="nil"/>
            </w:tcBorders>
            <w:shd w:val="clear" w:color="auto" w:fill="auto"/>
            <w:noWrap/>
            <w:hideMark/>
          </w:tcPr>
          <w:p w14:paraId="79D0690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right w:val="nil"/>
            </w:tcBorders>
            <w:shd w:val="clear" w:color="000000" w:fill="FFFFFF"/>
            <w:hideMark/>
          </w:tcPr>
          <w:p w14:paraId="4B59969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right w:val="nil"/>
            </w:tcBorders>
            <w:shd w:val="clear" w:color="000000" w:fill="FFFFFF"/>
            <w:hideMark/>
          </w:tcPr>
          <w:p w14:paraId="46F229E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0.4321</w:t>
            </w:r>
          </w:p>
        </w:tc>
        <w:tc>
          <w:tcPr>
            <w:tcW w:w="0" w:type="auto"/>
            <w:tcBorders>
              <w:top w:val="nil"/>
              <w:left w:val="nil"/>
              <w:right w:val="nil"/>
            </w:tcBorders>
            <w:shd w:val="clear" w:color="000000" w:fill="FFFFFF"/>
            <w:hideMark/>
          </w:tcPr>
          <w:p w14:paraId="533DFB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0.4954</w:t>
            </w:r>
          </w:p>
        </w:tc>
        <w:tc>
          <w:tcPr>
            <w:tcW w:w="0" w:type="auto"/>
            <w:tcBorders>
              <w:top w:val="nil"/>
              <w:left w:val="nil"/>
              <w:right w:val="nil"/>
            </w:tcBorders>
            <w:shd w:val="clear" w:color="000000" w:fill="FFFFFF"/>
            <w:hideMark/>
          </w:tcPr>
          <w:p w14:paraId="0BDD98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4F2C777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77EF039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r w:rsidR="008836A7" w:rsidRPr="005F7C3C" w14:paraId="08A482B2" w14:textId="77777777" w:rsidTr="008836A7">
        <w:trPr>
          <w:trHeight w:val="281"/>
        </w:trPr>
        <w:tc>
          <w:tcPr>
            <w:tcW w:w="0" w:type="auto"/>
            <w:tcBorders>
              <w:top w:val="nil"/>
              <w:left w:val="nil"/>
              <w:bottom w:val="single" w:sz="8" w:space="0" w:color="auto"/>
              <w:right w:val="nil"/>
            </w:tcBorders>
            <w:shd w:val="clear" w:color="auto" w:fill="auto"/>
            <w:noWrap/>
            <w:hideMark/>
          </w:tcPr>
          <w:p w14:paraId="1860477B"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8" w:space="0" w:color="auto"/>
              <w:right w:val="nil"/>
            </w:tcBorders>
            <w:shd w:val="clear" w:color="000000" w:fill="FFFFFF"/>
            <w:hideMark/>
          </w:tcPr>
          <w:p w14:paraId="40A2EDF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000000" w:fill="FFFFFF"/>
            <w:hideMark/>
          </w:tcPr>
          <w:p w14:paraId="4590AE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0.8052</w:t>
            </w:r>
          </w:p>
        </w:tc>
        <w:tc>
          <w:tcPr>
            <w:tcW w:w="0" w:type="auto"/>
            <w:tcBorders>
              <w:top w:val="nil"/>
              <w:left w:val="nil"/>
              <w:bottom w:val="single" w:sz="8" w:space="0" w:color="auto"/>
              <w:right w:val="nil"/>
            </w:tcBorders>
            <w:shd w:val="clear" w:color="000000" w:fill="FFFFFF"/>
            <w:hideMark/>
          </w:tcPr>
          <w:p w14:paraId="5A7593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0.3960</w:t>
            </w:r>
          </w:p>
        </w:tc>
        <w:tc>
          <w:tcPr>
            <w:tcW w:w="0" w:type="auto"/>
            <w:tcBorders>
              <w:top w:val="nil"/>
              <w:left w:val="nil"/>
              <w:bottom w:val="single" w:sz="8" w:space="0" w:color="auto"/>
              <w:right w:val="nil"/>
            </w:tcBorders>
            <w:shd w:val="clear" w:color="000000" w:fill="FFFFFF"/>
            <w:hideMark/>
          </w:tcPr>
          <w:p w14:paraId="6BB657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4D4CAD3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119E801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bl>
    <w:p w14:paraId="2BFE0FF4" w14:textId="2FB43CD5" w:rsidR="008836A7" w:rsidRPr="008836A7" w:rsidRDefault="008836A7" w:rsidP="008836A7">
      <w:pPr>
        <w:ind w:left="720"/>
        <w:jc w:val="both"/>
        <w:rPr>
          <w:rFonts w:ascii="Times New Roman" w:eastAsia="Times New Roman" w:hAnsi="Times New Roman" w:cs="Times New Roman"/>
          <w:color w:val="000000"/>
          <w:sz w:val="20"/>
        </w:rPr>
      </w:pPr>
      <w:r w:rsidRPr="008836A7">
        <w:rPr>
          <w:rFonts w:ascii="Times New Roman" w:eastAsia="Times New Roman" w:hAnsi="Times New Roman" w:cs="Times New Roman"/>
          <w:color w:val="000000"/>
          <w:sz w:val="20"/>
        </w:rPr>
        <w:t>Notes: Table 1 reports the summary statistics of accounting conservatism, forward-looking statements, information environment, and the control variables used in our main analysis. Our sample is constructed from the intersection of SeekingAlpha.com, I/B/E/S, and CRSP/</w:t>
      </w:r>
      <w:proofErr w:type="spellStart"/>
      <w:r w:rsidRPr="008836A7">
        <w:rPr>
          <w:rFonts w:ascii="Times New Roman" w:eastAsia="Times New Roman" w:hAnsi="Times New Roman" w:cs="Times New Roman"/>
          <w:color w:val="000000"/>
          <w:sz w:val="20"/>
        </w:rPr>
        <w:t>Compustat</w:t>
      </w:r>
      <w:proofErr w:type="spellEnd"/>
      <w:r w:rsidRPr="008836A7">
        <w:rPr>
          <w:rFonts w:ascii="Times New Roman" w:eastAsia="Times New Roman" w:hAnsi="Times New Roman" w:cs="Times New Roman"/>
          <w:color w:val="000000"/>
          <w:sz w:val="20"/>
        </w:rPr>
        <w:t xml:space="preserve">. All variables are defined in Appendix and </w:t>
      </w:r>
      <w:proofErr w:type="spellStart"/>
      <w:r w:rsidRPr="008836A7">
        <w:rPr>
          <w:rFonts w:ascii="Times New Roman" w:eastAsia="Times New Roman" w:hAnsi="Times New Roman" w:cs="Times New Roman"/>
          <w:color w:val="000000"/>
          <w:sz w:val="20"/>
        </w:rPr>
        <w:t>winsorized</w:t>
      </w:r>
      <w:proofErr w:type="spellEnd"/>
      <w:r w:rsidRPr="008836A7">
        <w:rPr>
          <w:rFonts w:ascii="Times New Roman" w:eastAsia="Times New Roman" w:hAnsi="Times New Roman" w:cs="Times New Roman"/>
          <w:color w:val="000000"/>
          <w:sz w:val="20"/>
        </w:rPr>
        <w:t xml:space="preserve"> at the 1st and 99th percentiles. </w:t>
      </w:r>
    </w:p>
    <w:p w14:paraId="293420B0" w14:textId="005D9E34"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CBAB94" w14:textId="7EC35B2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278CDE9B" w14:textId="25B141B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C329A0B" w14:textId="6DF922BE"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09B6B376" w14:textId="3BFB56E1"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A872F9A" w14:textId="77777777" w:rsidR="008836A7" w:rsidRDefault="008836A7" w:rsidP="008836A7">
      <w:pPr>
        <w:jc w:val="center"/>
        <w:rPr>
          <w:rFonts w:ascii="Times New Roman" w:eastAsia="Times New Roman" w:hAnsi="Times New Roman" w:cs="Times New Roman"/>
          <w:b/>
          <w:bCs/>
          <w:color w:val="000000"/>
          <w:sz w:val="24"/>
        </w:rPr>
        <w:sectPr w:rsidR="008836A7" w:rsidSect="00F24078">
          <w:footerReference w:type="default" r:id="rId13"/>
          <w:pgSz w:w="12240" w:h="15840"/>
          <w:pgMar w:top="1440" w:right="1440" w:bottom="1440" w:left="1440" w:header="720" w:footer="720" w:gutter="0"/>
          <w:pgBorders w:offsetFrom="page">
            <w:top w:val="single" w:sz="6" w:space="24" w:color="auto"/>
          </w:pgBorders>
          <w:pgNumType w:start="1"/>
          <w:cols w:space="720"/>
          <w:docGrid w:linePitch="360"/>
        </w:sectPr>
      </w:pPr>
    </w:p>
    <w:p w14:paraId="4CD21541" w14:textId="013BBDE3"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Table 2</w:t>
      </w:r>
      <w:r w:rsidRPr="008836A7">
        <w:rPr>
          <w:rFonts w:ascii="Times New Roman" w:eastAsia="Times New Roman" w:hAnsi="Times New Roman" w:cs="Times New Roman"/>
          <w:b/>
          <w:bCs/>
          <w:color w:val="000000"/>
          <w:sz w:val="24"/>
        </w:rPr>
        <w:br/>
        <w:t>Regressions of Bid-ask Spreads</w:t>
      </w:r>
    </w:p>
    <w:p w14:paraId="6BF05B65" w14:textId="77777777" w:rsidR="008836A7" w:rsidRDefault="008836A7" w:rsidP="008836A7">
      <w:pPr>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931"/>
        <w:gridCol w:w="1151"/>
        <w:gridCol w:w="546"/>
        <w:gridCol w:w="931"/>
        <w:gridCol w:w="1041"/>
        <w:gridCol w:w="546"/>
        <w:gridCol w:w="931"/>
        <w:gridCol w:w="1041"/>
        <w:gridCol w:w="546"/>
        <w:gridCol w:w="931"/>
      </w:tblGrid>
      <w:tr w:rsidR="008836A7" w:rsidRPr="005F7C3C" w14:paraId="617DCB22" w14:textId="77777777" w:rsidTr="004A606C">
        <w:trPr>
          <w:trHeight w:val="20"/>
        </w:trPr>
        <w:tc>
          <w:tcPr>
            <w:tcW w:w="0" w:type="auto"/>
            <w:tcBorders>
              <w:top w:val="single" w:sz="4" w:space="0" w:color="auto"/>
              <w:left w:val="nil"/>
              <w:bottom w:val="nil"/>
              <w:right w:val="nil"/>
            </w:tcBorders>
            <w:shd w:val="clear" w:color="auto" w:fill="auto"/>
            <w:noWrap/>
            <w:vAlign w:val="center"/>
            <w:hideMark/>
          </w:tcPr>
          <w:p w14:paraId="0E242BBA" w14:textId="77777777" w:rsidR="008836A7" w:rsidRPr="005F7C3C" w:rsidRDefault="008836A7" w:rsidP="004A606C">
            <w:pPr>
              <w:contextualSpacing/>
              <w:rPr>
                <w:rFonts w:ascii="Times New Roman" w:eastAsia="Times New Roman" w:hAnsi="Times New Roman" w:cs="Times New Roman"/>
              </w:rPr>
            </w:pPr>
          </w:p>
        </w:tc>
        <w:tc>
          <w:tcPr>
            <w:tcW w:w="0" w:type="auto"/>
            <w:gridSpan w:val="12"/>
            <w:tcBorders>
              <w:top w:val="single" w:sz="4" w:space="0" w:color="auto"/>
              <w:left w:val="nil"/>
              <w:bottom w:val="single" w:sz="4" w:space="0" w:color="auto"/>
              <w:right w:val="nil"/>
            </w:tcBorders>
            <w:shd w:val="clear" w:color="auto" w:fill="auto"/>
            <w:noWrap/>
            <w:vAlign w:val="center"/>
            <w:hideMark/>
          </w:tcPr>
          <w:p w14:paraId="1CAE3040"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SPREAD</w:t>
            </w:r>
          </w:p>
        </w:tc>
      </w:tr>
      <w:tr w:rsidR="008836A7" w:rsidRPr="005F7C3C" w14:paraId="4C7A3020" w14:textId="77777777" w:rsidTr="004A606C">
        <w:trPr>
          <w:trHeight w:val="20"/>
        </w:trPr>
        <w:tc>
          <w:tcPr>
            <w:tcW w:w="0" w:type="auto"/>
            <w:tcBorders>
              <w:top w:val="nil"/>
              <w:left w:val="nil"/>
              <w:bottom w:val="nil"/>
              <w:right w:val="nil"/>
            </w:tcBorders>
            <w:shd w:val="clear" w:color="auto" w:fill="auto"/>
            <w:noWrap/>
            <w:vAlign w:val="bottom"/>
            <w:hideMark/>
          </w:tcPr>
          <w:p w14:paraId="31E6C6EC" w14:textId="77777777" w:rsidR="008836A7" w:rsidRPr="005F7C3C" w:rsidRDefault="008836A7" w:rsidP="004A606C">
            <w:pPr>
              <w:contextualSpacing/>
              <w:jc w:val="cente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7D6A10F7"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6919CDA3"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1DF2D470"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07CC8796"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8836A7" w:rsidRPr="005F7C3C" w14:paraId="6F53863C" w14:textId="77777777" w:rsidTr="004A606C">
        <w:trPr>
          <w:trHeight w:val="20"/>
        </w:trPr>
        <w:tc>
          <w:tcPr>
            <w:tcW w:w="0" w:type="auto"/>
            <w:tcBorders>
              <w:top w:val="nil"/>
              <w:left w:val="nil"/>
              <w:bottom w:val="nil"/>
              <w:right w:val="nil"/>
            </w:tcBorders>
            <w:shd w:val="clear" w:color="auto" w:fill="auto"/>
            <w:noWrap/>
            <w:vAlign w:val="bottom"/>
            <w:hideMark/>
          </w:tcPr>
          <w:p w14:paraId="06952308" w14:textId="77777777" w:rsidR="008836A7" w:rsidRPr="005F7C3C" w:rsidRDefault="008836A7" w:rsidP="004A606C">
            <w:pPr>
              <w:contextualSpacing/>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26D907F"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604D208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09E553A1"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3DC5FBA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8836A7" w:rsidRPr="005F7C3C" w14:paraId="2EEFD157"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7251ACD2"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25FEC66"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4FCE5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4FCBD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hideMark/>
          </w:tcPr>
          <w:p w14:paraId="0EFE063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40CFA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4B6B46E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D8C1B2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2FB98F1"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927184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BDC88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67A303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189889E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836A7" w:rsidRPr="005F7C3C" w14:paraId="1C8C8323" w14:textId="77777777" w:rsidTr="004A606C">
        <w:trPr>
          <w:trHeight w:val="20"/>
        </w:trPr>
        <w:tc>
          <w:tcPr>
            <w:tcW w:w="0" w:type="auto"/>
            <w:tcBorders>
              <w:top w:val="nil"/>
              <w:left w:val="nil"/>
              <w:bottom w:val="nil"/>
              <w:right w:val="nil"/>
            </w:tcBorders>
            <w:shd w:val="clear" w:color="auto" w:fill="auto"/>
            <w:noWrap/>
            <w:vAlign w:val="bottom"/>
            <w:hideMark/>
          </w:tcPr>
          <w:p w14:paraId="413ECFB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1B2B8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0583D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43B3BC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w:t>
            </w:r>
          </w:p>
        </w:tc>
        <w:tc>
          <w:tcPr>
            <w:tcW w:w="0" w:type="auto"/>
            <w:tcBorders>
              <w:top w:val="nil"/>
              <w:left w:val="nil"/>
              <w:bottom w:val="nil"/>
              <w:right w:val="nil"/>
            </w:tcBorders>
            <w:shd w:val="clear" w:color="auto" w:fill="auto"/>
            <w:noWrap/>
            <w:hideMark/>
          </w:tcPr>
          <w:p w14:paraId="5F71F0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114097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BC81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nil"/>
              <w:right w:val="nil"/>
            </w:tcBorders>
            <w:shd w:val="clear" w:color="auto" w:fill="auto"/>
            <w:noWrap/>
            <w:hideMark/>
          </w:tcPr>
          <w:p w14:paraId="22CDB38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86D122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5DCF9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78F1858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49C9C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32A2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8836A7" w:rsidRPr="005F7C3C" w14:paraId="5398A49C" w14:textId="77777777" w:rsidTr="004A606C">
        <w:trPr>
          <w:trHeight w:val="20"/>
        </w:trPr>
        <w:tc>
          <w:tcPr>
            <w:tcW w:w="0" w:type="auto"/>
            <w:tcBorders>
              <w:top w:val="nil"/>
              <w:left w:val="nil"/>
              <w:bottom w:val="nil"/>
              <w:right w:val="nil"/>
            </w:tcBorders>
            <w:shd w:val="clear" w:color="auto" w:fill="auto"/>
            <w:noWrap/>
            <w:hideMark/>
          </w:tcPr>
          <w:p w14:paraId="558FA10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2210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47D6FA9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57D2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D21A5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EC587E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FBEB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4D89893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0621E3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2EA50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(-1.31)</w:t>
            </w:r>
          </w:p>
        </w:tc>
        <w:tc>
          <w:tcPr>
            <w:tcW w:w="0" w:type="auto"/>
            <w:tcBorders>
              <w:top w:val="nil"/>
              <w:left w:val="nil"/>
              <w:bottom w:val="nil"/>
              <w:right w:val="nil"/>
            </w:tcBorders>
            <w:shd w:val="clear" w:color="auto" w:fill="auto"/>
            <w:noWrap/>
            <w:hideMark/>
          </w:tcPr>
          <w:p w14:paraId="7B7F12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54EE1CB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D08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(-0.67)</w:t>
            </w:r>
          </w:p>
        </w:tc>
      </w:tr>
      <w:tr w:rsidR="008836A7" w:rsidRPr="005F7C3C" w14:paraId="40BEAC7E" w14:textId="77777777" w:rsidTr="004A606C">
        <w:trPr>
          <w:trHeight w:val="20"/>
        </w:trPr>
        <w:tc>
          <w:tcPr>
            <w:tcW w:w="0" w:type="auto"/>
            <w:tcBorders>
              <w:top w:val="nil"/>
              <w:left w:val="nil"/>
              <w:bottom w:val="nil"/>
              <w:right w:val="nil"/>
            </w:tcBorders>
            <w:shd w:val="clear" w:color="auto" w:fill="auto"/>
            <w:noWrap/>
            <w:hideMark/>
          </w:tcPr>
          <w:p w14:paraId="21EFE97D"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0BDD1A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C56515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67C652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c>
          <w:tcPr>
            <w:tcW w:w="0" w:type="auto"/>
            <w:tcBorders>
              <w:top w:val="nil"/>
              <w:left w:val="nil"/>
              <w:bottom w:val="nil"/>
              <w:right w:val="nil"/>
            </w:tcBorders>
            <w:shd w:val="clear" w:color="auto" w:fill="auto"/>
            <w:noWrap/>
            <w:hideMark/>
          </w:tcPr>
          <w:p w14:paraId="7D4179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53DE6E9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45DA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6DE7773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3D527C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651E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c>
          <w:tcPr>
            <w:tcW w:w="0" w:type="auto"/>
            <w:tcBorders>
              <w:top w:val="nil"/>
              <w:left w:val="nil"/>
              <w:bottom w:val="nil"/>
              <w:right w:val="nil"/>
            </w:tcBorders>
            <w:shd w:val="clear" w:color="auto" w:fill="auto"/>
            <w:noWrap/>
            <w:hideMark/>
          </w:tcPr>
          <w:p w14:paraId="5947106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164C7F3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FB8D4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r>
      <w:tr w:rsidR="008836A7" w:rsidRPr="005F7C3C" w14:paraId="76CF18E2" w14:textId="77777777" w:rsidTr="004A606C">
        <w:trPr>
          <w:trHeight w:val="20"/>
        </w:trPr>
        <w:tc>
          <w:tcPr>
            <w:tcW w:w="0" w:type="auto"/>
            <w:tcBorders>
              <w:top w:val="nil"/>
              <w:left w:val="nil"/>
              <w:bottom w:val="nil"/>
              <w:right w:val="nil"/>
            </w:tcBorders>
            <w:shd w:val="clear" w:color="auto" w:fill="auto"/>
            <w:noWrap/>
            <w:hideMark/>
          </w:tcPr>
          <w:p w14:paraId="6DEC2900" w14:textId="77777777" w:rsidR="008836A7" w:rsidRPr="005F7C3C" w:rsidRDefault="008836A7" w:rsidP="004A606C">
            <w:pPr>
              <w:contextualSpacing/>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17EDCCE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-0.0025</w:t>
            </w:r>
          </w:p>
        </w:tc>
        <w:tc>
          <w:tcPr>
            <w:tcW w:w="0" w:type="auto"/>
            <w:tcBorders>
              <w:top w:val="nil"/>
              <w:left w:val="nil"/>
              <w:bottom w:val="nil"/>
              <w:right w:val="nil"/>
            </w:tcBorders>
            <w:shd w:val="clear" w:color="auto" w:fill="auto"/>
            <w:noWrap/>
            <w:vAlign w:val="center"/>
            <w:hideMark/>
          </w:tcPr>
          <w:p w14:paraId="18DB778B"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685C200"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(-2.95)</w:t>
            </w:r>
          </w:p>
        </w:tc>
        <w:tc>
          <w:tcPr>
            <w:tcW w:w="0" w:type="auto"/>
            <w:tcBorders>
              <w:top w:val="nil"/>
              <w:left w:val="nil"/>
              <w:bottom w:val="nil"/>
              <w:right w:val="nil"/>
            </w:tcBorders>
            <w:shd w:val="clear" w:color="auto" w:fill="auto"/>
            <w:noWrap/>
            <w:hideMark/>
          </w:tcPr>
          <w:p w14:paraId="44703DC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-0.0048</w:t>
            </w:r>
          </w:p>
        </w:tc>
        <w:tc>
          <w:tcPr>
            <w:tcW w:w="0" w:type="auto"/>
            <w:tcBorders>
              <w:top w:val="nil"/>
              <w:left w:val="nil"/>
              <w:bottom w:val="nil"/>
              <w:right w:val="nil"/>
            </w:tcBorders>
            <w:shd w:val="clear" w:color="auto" w:fill="auto"/>
            <w:noWrap/>
            <w:vAlign w:val="center"/>
            <w:hideMark/>
          </w:tcPr>
          <w:p w14:paraId="210016CD"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77F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(-2.38)</w:t>
            </w:r>
          </w:p>
        </w:tc>
        <w:tc>
          <w:tcPr>
            <w:tcW w:w="0" w:type="auto"/>
            <w:tcBorders>
              <w:top w:val="nil"/>
              <w:left w:val="nil"/>
              <w:bottom w:val="nil"/>
              <w:right w:val="nil"/>
            </w:tcBorders>
            <w:shd w:val="clear" w:color="auto" w:fill="auto"/>
            <w:noWrap/>
            <w:hideMark/>
          </w:tcPr>
          <w:p w14:paraId="526FBB2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-0.0037</w:t>
            </w:r>
          </w:p>
        </w:tc>
        <w:tc>
          <w:tcPr>
            <w:tcW w:w="0" w:type="auto"/>
            <w:tcBorders>
              <w:top w:val="nil"/>
              <w:left w:val="nil"/>
              <w:bottom w:val="nil"/>
              <w:right w:val="nil"/>
            </w:tcBorders>
            <w:shd w:val="clear" w:color="auto" w:fill="auto"/>
            <w:noWrap/>
            <w:vAlign w:val="center"/>
            <w:hideMark/>
          </w:tcPr>
          <w:p w14:paraId="236CEBBE"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49CA08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(-3.45)</w:t>
            </w:r>
          </w:p>
        </w:tc>
        <w:tc>
          <w:tcPr>
            <w:tcW w:w="0" w:type="auto"/>
            <w:tcBorders>
              <w:top w:val="nil"/>
              <w:left w:val="nil"/>
              <w:bottom w:val="nil"/>
              <w:right w:val="nil"/>
            </w:tcBorders>
            <w:shd w:val="clear" w:color="auto" w:fill="auto"/>
            <w:noWrap/>
            <w:hideMark/>
          </w:tcPr>
          <w:p w14:paraId="27C83AD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-0.0024</w:t>
            </w:r>
          </w:p>
        </w:tc>
        <w:tc>
          <w:tcPr>
            <w:tcW w:w="0" w:type="auto"/>
            <w:tcBorders>
              <w:top w:val="nil"/>
              <w:left w:val="nil"/>
              <w:bottom w:val="nil"/>
              <w:right w:val="nil"/>
            </w:tcBorders>
            <w:shd w:val="clear" w:color="auto" w:fill="auto"/>
            <w:noWrap/>
            <w:vAlign w:val="center"/>
            <w:hideMark/>
          </w:tcPr>
          <w:p w14:paraId="4785CFA6"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37BFE13"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(-2.90)</w:t>
            </w:r>
          </w:p>
        </w:tc>
      </w:tr>
      <w:tr w:rsidR="008836A7" w:rsidRPr="005F7C3C" w14:paraId="3BC92415" w14:textId="77777777" w:rsidTr="004A606C">
        <w:trPr>
          <w:trHeight w:val="20"/>
        </w:trPr>
        <w:tc>
          <w:tcPr>
            <w:tcW w:w="0" w:type="auto"/>
            <w:tcBorders>
              <w:top w:val="nil"/>
              <w:left w:val="nil"/>
              <w:bottom w:val="nil"/>
              <w:right w:val="nil"/>
            </w:tcBorders>
            <w:shd w:val="clear" w:color="auto" w:fill="auto"/>
            <w:noWrap/>
            <w:hideMark/>
          </w:tcPr>
          <w:p w14:paraId="01FA8B38"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03BB93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E0BCE2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F13E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02E450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BE7A7A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187E6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33B6FF9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0E792DC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DD51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c>
          <w:tcPr>
            <w:tcW w:w="0" w:type="auto"/>
            <w:tcBorders>
              <w:top w:val="nil"/>
              <w:left w:val="nil"/>
              <w:bottom w:val="nil"/>
              <w:right w:val="nil"/>
            </w:tcBorders>
            <w:shd w:val="clear" w:color="auto" w:fill="auto"/>
            <w:noWrap/>
            <w:hideMark/>
          </w:tcPr>
          <w:p w14:paraId="1A9630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ED4705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E5DF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r>
      <w:tr w:rsidR="008836A7" w:rsidRPr="005F7C3C" w14:paraId="07E7B4EB" w14:textId="77777777" w:rsidTr="004A606C">
        <w:trPr>
          <w:trHeight w:val="20"/>
        </w:trPr>
        <w:tc>
          <w:tcPr>
            <w:tcW w:w="0" w:type="auto"/>
            <w:tcBorders>
              <w:top w:val="nil"/>
              <w:left w:val="nil"/>
              <w:bottom w:val="nil"/>
              <w:right w:val="nil"/>
            </w:tcBorders>
            <w:shd w:val="clear" w:color="auto" w:fill="auto"/>
            <w:noWrap/>
            <w:hideMark/>
          </w:tcPr>
          <w:p w14:paraId="2E79FF77"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94A36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4F24FD4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15B6C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3112DC2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3B94531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4405B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009C73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0D1296E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32D35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41E265E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256CB82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E0C4B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r>
      <w:tr w:rsidR="008836A7" w:rsidRPr="005F7C3C" w14:paraId="228603DF" w14:textId="77777777" w:rsidTr="004A606C">
        <w:trPr>
          <w:trHeight w:val="20"/>
        </w:trPr>
        <w:tc>
          <w:tcPr>
            <w:tcW w:w="0" w:type="auto"/>
            <w:tcBorders>
              <w:top w:val="nil"/>
              <w:left w:val="nil"/>
              <w:bottom w:val="nil"/>
              <w:right w:val="nil"/>
            </w:tcBorders>
            <w:shd w:val="clear" w:color="auto" w:fill="auto"/>
            <w:noWrap/>
            <w:hideMark/>
          </w:tcPr>
          <w:p w14:paraId="5F14485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282797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11F5ADC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180C3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4A98CB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2CD930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EBE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161BD7E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45365A7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3A2F4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(0.87)</w:t>
            </w:r>
          </w:p>
        </w:tc>
        <w:tc>
          <w:tcPr>
            <w:tcW w:w="0" w:type="auto"/>
            <w:tcBorders>
              <w:top w:val="nil"/>
              <w:left w:val="nil"/>
              <w:bottom w:val="nil"/>
              <w:right w:val="nil"/>
            </w:tcBorders>
            <w:shd w:val="clear" w:color="auto" w:fill="auto"/>
            <w:noWrap/>
            <w:hideMark/>
          </w:tcPr>
          <w:p w14:paraId="40345D4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33EC61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565EF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r>
      <w:tr w:rsidR="008836A7" w:rsidRPr="005F7C3C" w14:paraId="14A3A6FA" w14:textId="77777777" w:rsidTr="004A606C">
        <w:trPr>
          <w:trHeight w:val="20"/>
        </w:trPr>
        <w:tc>
          <w:tcPr>
            <w:tcW w:w="0" w:type="auto"/>
            <w:tcBorders>
              <w:top w:val="nil"/>
              <w:left w:val="nil"/>
              <w:bottom w:val="nil"/>
              <w:right w:val="nil"/>
            </w:tcBorders>
            <w:shd w:val="clear" w:color="auto" w:fill="auto"/>
            <w:noWrap/>
            <w:hideMark/>
          </w:tcPr>
          <w:p w14:paraId="0A4F49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1EB7CC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1C9E44"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0F054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(2.59)</w:t>
            </w:r>
          </w:p>
        </w:tc>
        <w:tc>
          <w:tcPr>
            <w:tcW w:w="0" w:type="auto"/>
            <w:tcBorders>
              <w:top w:val="nil"/>
              <w:left w:val="nil"/>
              <w:bottom w:val="nil"/>
              <w:right w:val="nil"/>
            </w:tcBorders>
            <w:shd w:val="clear" w:color="auto" w:fill="auto"/>
            <w:noWrap/>
            <w:hideMark/>
          </w:tcPr>
          <w:p w14:paraId="5EE186C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FD022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473A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048BCA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1E1F4D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7BBBB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29DE52B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511866DC"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EF61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(2.58)</w:t>
            </w:r>
          </w:p>
        </w:tc>
      </w:tr>
      <w:tr w:rsidR="008836A7" w:rsidRPr="005F7C3C" w14:paraId="2AC34EC5" w14:textId="77777777" w:rsidTr="004A606C">
        <w:trPr>
          <w:trHeight w:val="20"/>
        </w:trPr>
        <w:tc>
          <w:tcPr>
            <w:tcW w:w="0" w:type="auto"/>
            <w:tcBorders>
              <w:top w:val="nil"/>
              <w:left w:val="nil"/>
              <w:bottom w:val="nil"/>
              <w:right w:val="nil"/>
            </w:tcBorders>
            <w:shd w:val="clear" w:color="auto" w:fill="auto"/>
            <w:noWrap/>
            <w:hideMark/>
          </w:tcPr>
          <w:p w14:paraId="6549776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E764E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2BBB25D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A832A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0AC00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195007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4085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225A64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0D0C6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619C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(1.14)</w:t>
            </w:r>
          </w:p>
        </w:tc>
        <w:tc>
          <w:tcPr>
            <w:tcW w:w="0" w:type="auto"/>
            <w:tcBorders>
              <w:top w:val="nil"/>
              <w:left w:val="nil"/>
              <w:bottom w:val="nil"/>
              <w:right w:val="nil"/>
            </w:tcBorders>
            <w:shd w:val="clear" w:color="auto" w:fill="auto"/>
            <w:noWrap/>
            <w:hideMark/>
          </w:tcPr>
          <w:p w14:paraId="0FAD99F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11F755F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AAC7E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r>
      <w:tr w:rsidR="008836A7" w:rsidRPr="005F7C3C" w14:paraId="596203F9" w14:textId="77777777" w:rsidTr="004A606C">
        <w:trPr>
          <w:trHeight w:val="20"/>
        </w:trPr>
        <w:tc>
          <w:tcPr>
            <w:tcW w:w="0" w:type="auto"/>
            <w:tcBorders>
              <w:top w:val="nil"/>
              <w:left w:val="nil"/>
              <w:bottom w:val="nil"/>
              <w:right w:val="nil"/>
            </w:tcBorders>
            <w:shd w:val="clear" w:color="auto" w:fill="auto"/>
            <w:noWrap/>
            <w:hideMark/>
          </w:tcPr>
          <w:p w14:paraId="21B1A65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747627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48989F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2C0DE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c>
          <w:tcPr>
            <w:tcW w:w="0" w:type="auto"/>
            <w:tcBorders>
              <w:top w:val="nil"/>
              <w:left w:val="nil"/>
              <w:bottom w:val="nil"/>
              <w:right w:val="nil"/>
            </w:tcBorders>
            <w:shd w:val="clear" w:color="auto" w:fill="auto"/>
            <w:noWrap/>
            <w:hideMark/>
          </w:tcPr>
          <w:p w14:paraId="0F1D27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6C7EBE17"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4F605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(2.13)</w:t>
            </w:r>
          </w:p>
        </w:tc>
        <w:tc>
          <w:tcPr>
            <w:tcW w:w="0" w:type="auto"/>
            <w:tcBorders>
              <w:top w:val="nil"/>
              <w:left w:val="nil"/>
              <w:bottom w:val="nil"/>
              <w:right w:val="nil"/>
            </w:tcBorders>
            <w:shd w:val="clear" w:color="auto" w:fill="auto"/>
            <w:noWrap/>
            <w:hideMark/>
          </w:tcPr>
          <w:p w14:paraId="6130616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18152D7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7E1C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(2.26)</w:t>
            </w:r>
          </w:p>
        </w:tc>
        <w:tc>
          <w:tcPr>
            <w:tcW w:w="0" w:type="auto"/>
            <w:tcBorders>
              <w:top w:val="nil"/>
              <w:left w:val="nil"/>
              <w:bottom w:val="nil"/>
              <w:right w:val="nil"/>
            </w:tcBorders>
            <w:shd w:val="clear" w:color="auto" w:fill="auto"/>
            <w:noWrap/>
            <w:hideMark/>
          </w:tcPr>
          <w:p w14:paraId="24278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BA32A9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DA68C5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r>
      <w:tr w:rsidR="008836A7" w:rsidRPr="005F7C3C" w14:paraId="2C7E9E95" w14:textId="77777777" w:rsidTr="004A606C">
        <w:trPr>
          <w:trHeight w:val="20"/>
        </w:trPr>
        <w:tc>
          <w:tcPr>
            <w:tcW w:w="0" w:type="auto"/>
            <w:tcBorders>
              <w:top w:val="nil"/>
              <w:left w:val="nil"/>
              <w:bottom w:val="nil"/>
              <w:right w:val="nil"/>
            </w:tcBorders>
            <w:shd w:val="clear" w:color="auto" w:fill="auto"/>
            <w:noWrap/>
            <w:hideMark/>
          </w:tcPr>
          <w:p w14:paraId="203F4DA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37931CF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21CA2D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440938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c>
          <w:tcPr>
            <w:tcW w:w="0" w:type="auto"/>
            <w:tcBorders>
              <w:top w:val="nil"/>
              <w:left w:val="nil"/>
              <w:bottom w:val="nil"/>
              <w:right w:val="nil"/>
            </w:tcBorders>
            <w:shd w:val="clear" w:color="auto" w:fill="auto"/>
            <w:noWrap/>
            <w:hideMark/>
          </w:tcPr>
          <w:p w14:paraId="1C6901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auto" w:fill="auto"/>
            <w:noWrap/>
            <w:vAlign w:val="center"/>
            <w:hideMark/>
          </w:tcPr>
          <w:p w14:paraId="037057E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EA02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(4.00)</w:t>
            </w:r>
          </w:p>
        </w:tc>
        <w:tc>
          <w:tcPr>
            <w:tcW w:w="0" w:type="auto"/>
            <w:tcBorders>
              <w:top w:val="nil"/>
              <w:left w:val="nil"/>
              <w:bottom w:val="nil"/>
              <w:right w:val="nil"/>
            </w:tcBorders>
            <w:shd w:val="clear" w:color="auto" w:fill="auto"/>
            <w:noWrap/>
            <w:hideMark/>
          </w:tcPr>
          <w:p w14:paraId="376170F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303711D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B521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w:t>
            </w:r>
          </w:p>
        </w:tc>
        <w:tc>
          <w:tcPr>
            <w:tcW w:w="0" w:type="auto"/>
            <w:tcBorders>
              <w:top w:val="nil"/>
              <w:left w:val="nil"/>
              <w:bottom w:val="nil"/>
              <w:right w:val="nil"/>
            </w:tcBorders>
            <w:shd w:val="clear" w:color="auto" w:fill="auto"/>
            <w:noWrap/>
            <w:hideMark/>
          </w:tcPr>
          <w:p w14:paraId="7EC8950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009D0A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7AA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r>
      <w:tr w:rsidR="008836A7" w:rsidRPr="005F7C3C" w14:paraId="6BCA7DA3" w14:textId="77777777" w:rsidTr="004A606C">
        <w:trPr>
          <w:trHeight w:val="20"/>
        </w:trPr>
        <w:tc>
          <w:tcPr>
            <w:tcW w:w="0" w:type="auto"/>
            <w:tcBorders>
              <w:top w:val="nil"/>
              <w:left w:val="nil"/>
              <w:bottom w:val="nil"/>
              <w:right w:val="nil"/>
            </w:tcBorders>
            <w:shd w:val="clear" w:color="auto" w:fill="auto"/>
            <w:noWrap/>
            <w:hideMark/>
          </w:tcPr>
          <w:p w14:paraId="1096864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79A95A6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0FF209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928A7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c>
          <w:tcPr>
            <w:tcW w:w="0" w:type="auto"/>
            <w:tcBorders>
              <w:top w:val="nil"/>
              <w:left w:val="nil"/>
              <w:bottom w:val="nil"/>
              <w:right w:val="nil"/>
            </w:tcBorders>
            <w:shd w:val="clear" w:color="auto" w:fill="auto"/>
            <w:noWrap/>
            <w:hideMark/>
          </w:tcPr>
          <w:p w14:paraId="3ED7AF7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372F15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A2A97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4A4D3AD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0FD70B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DED6E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nil"/>
              <w:right w:val="nil"/>
            </w:tcBorders>
            <w:shd w:val="clear" w:color="auto" w:fill="auto"/>
            <w:noWrap/>
            <w:hideMark/>
          </w:tcPr>
          <w:p w14:paraId="4AE62D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7B718D0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3BEB9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836A7" w:rsidRPr="005F7C3C" w14:paraId="0FCB33A0" w14:textId="77777777" w:rsidTr="004A606C">
        <w:trPr>
          <w:trHeight w:val="20"/>
        </w:trPr>
        <w:tc>
          <w:tcPr>
            <w:tcW w:w="0" w:type="auto"/>
            <w:tcBorders>
              <w:top w:val="nil"/>
              <w:left w:val="nil"/>
              <w:bottom w:val="nil"/>
              <w:right w:val="nil"/>
            </w:tcBorders>
            <w:shd w:val="clear" w:color="auto" w:fill="auto"/>
            <w:noWrap/>
            <w:hideMark/>
          </w:tcPr>
          <w:p w14:paraId="5242B85F"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64A7E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192AC7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33362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CB1AE7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77FEB5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17370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74B26B5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7BCC4AB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5AEF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26AF450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CF8BD9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8D463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r>
      <w:tr w:rsidR="008836A7" w:rsidRPr="005F7C3C" w14:paraId="3DF103EB" w14:textId="77777777" w:rsidTr="004A606C">
        <w:trPr>
          <w:trHeight w:val="20"/>
        </w:trPr>
        <w:tc>
          <w:tcPr>
            <w:tcW w:w="0" w:type="auto"/>
            <w:tcBorders>
              <w:top w:val="nil"/>
              <w:left w:val="nil"/>
              <w:bottom w:val="nil"/>
              <w:right w:val="nil"/>
            </w:tcBorders>
            <w:shd w:val="clear" w:color="auto" w:fill="auto"/>
            <w:noWrap/>
            <w:hideMark/>
          </w:tcPr>
          <w:p w14:paraId="018848D6"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45EE6B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7C53A4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5934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c>
          <w:tcPr>
            <w:tcW w:w="0" w:type="auto"/>
            <w:tcBorders>
              <w:top w:val="nil"/>
              <w:left w:val="nil"/>
              <w:bottom w:val="nil"/>
              <w:right w:val="nil"/>
            </w:tcBorders>
            <w:shd w:val="clear" w:color="auto" w:fill="auto"/>
            <w:noWrap/>
            <w:hideMark/>
          </w:tcPr>
          <w:p w14:paraId="7D4C2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6DB1999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15DE41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1A03FCA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6016D23"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FC4ADF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57526C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1017F09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699A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r>
      <w:tr w:rsidR="008836A7" w:rsidRPr="005F7C3C" w14:paraId="7260C023" w14:textId="77777777" w:rsidTr="004A606C">
        <w:trPr>
          <w:trHeight w:val="20"/>
        </w:trPr>
        <w:tc>
          <w:tcPr>
            <w:tcW w:w="0" w:type="auto"/>
            <w:tcBorders>
              <w:top w:val="nil"/>
              <w:left w:val="nil"/>
              <w:bottom w:val="nil"/>
              <w:right w:val="nil"/>
            </w:tcBorders>
            <w:shd w:val="clear" w:color="auto" w:fill="auto"/>
            <w:noWrap/>
            <w:hideMark/>
          </w:tcPr>
          <w:p w14:paraId="623011F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92DC32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1BA4EFF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19671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2394EF3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23A9EF3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4BE4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7F835D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-0.0123</w:t>
            </w:r>
          </w:p>
        </w:tc>
        <w:tc>
          <w:tcPr>
            <w:tcW w:w="0" w:type="auto"/>
            <w:tcBorders>
              <w:top w:val="nil"/>
              <w:left w:val="nil"/>
              <w:bottom w:val="nil"/>
              <w:right w:val="nil"/>
            </w:tcBorders>
            <w:shd w:val="clear" w:color="auto" w:fill="auto"/>
            <w:noWrap/>
            <w:vAlign w:val="center"/>
            <w:hideMark/>
          </w:tcPr>
          <w:p w14:paraId="6D9F5DA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D924F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(-11.96)</w:t>
            </w:r>
          </w:p>
        </w:tc>
        <w:tc>
          <w:tcPr>
            <w:tcW w:w="0" w:type="auto"/>
            <w:tcBorders>
              <w:top w:val="nil"/>
              <w:left w:val="nil"/>
              <w:bottom w:val="nil"/>
              <w:right w:val="nil"/>
            </w:tcBorders>
            <w:shd w:val="clear" w:color="auto" w:fill="auto"/>
            <w:noWrap/>
            <w:hideMark/>
          </w:tcPr>
          <w:p w14:paraId="466CDC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596129A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86D32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r>
      <w:tr w:rsidR="008836A7" w:rsidRPr="005F7C3C" w14:paraId="26621C51" w14:textId="77777777" w:rsidTr="004A606C">
        <w:trPr>
          <w:trHeight w:val="20"/>
        </w:trPr>
        <w:tc>
          <w:tcPr>
            <w:tcW w:w="0" w:type="auto"/>
            <w:tcBorders>
              <w:top w:val="nil"/>
              <w:left w:val="nil"/>
              <w:bottom w:val="nil"/>
              <w:right w:val="nil"/>
            </w:tcBorders>
            <w:shd w:val="clear" w:color="auto" w:fill="auto"/>
            <w:noWrap/>
            <w:vAlign w:val="center"/>
            <w:hideMark/>
          </w:tcPr>
          <w:p w14:paraId="04B7E78B"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1E3A777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4406045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278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4C41CEA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13A0D52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1CEF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(1.44)</w:t>
            </w:r>
          </w:p>
        </w:tc>
        <w:tc>
          <w:tcPr>
            <w:tcW w:w="0" w:type="auto"/>
            <w:tcBorders>
              <w:top w:val="nil"/>
              <w:left w:val="nil"/>
              <w:bottom w:val="nil"/>
              <w:right w:val="nil"/>
            </w:tcBorders>
            <w:shd w:val="clear" w:color="auto" w:fill="auto"/>
            <w:noWrap/>
            <w:hideMark/>
          </w:tcPr>
          <w:p w14:paraId="1D2C9B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5362FA3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2606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(1.40)</w:t>
            </w:r>
          </w:p>
        </w:tc>
        <w:tc>
          <w:tcPr>
            <w:tcW w:w="0" w:type="auto"/>
            <w:tcBorders>
              <w:top w:val="nil"/>
              <w:left w:val="nil"/>
              <w:bottom w:val="nil"/>
              <w:right w:val="nil"/>
            </w:tcBorders>
            <w:shd w:val="clear" w:color="auto" w:fill="auto"/>
            <w:noWrap/>
            <w:hideMark/>
          </w:tcPr>
          <w:p w14:paraId="28E33C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09FAA5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8566B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r>
      <w:tr w:rsidR="008836A7" w:rsidRPr="005F7C3C" w14:paraId="44239845" w14:textId="77777777" w:rsidTr="004A606C">
        <w:trPr>
          <w:trHeight w:val="20"/>
        </w:trPr>
        <w:tc>
          <w:tcPr>
            <w:tcW w:w="0" w:type="auto"/>
            <w:tcBorders>
              <w:top w:val="nil"/>
              <w:left w:val="nil"/>
              <w:bottom w:val="nil"/>
              <w:right w:val="nil"/>
            </w:tcBorders>
            <w:shd w:val="clear" w:color="auto" w:fill="auto"/>
            <w:noWrap/>
            <w:vAlign w:val="center"/>
            <w:hideMark/>
          </w:tcPr>
          <w:p w14:paraId="1CE50C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A11998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3CA9B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469B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09BEF00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D0BB14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9C13F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2B675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1CD5AE8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945C4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72A62D8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C2E2E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B8BC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r>
      <w:tr w:rsidR="008836A7" w:rsidRPr="005F7C3C" w14:paraId="5BF3694E" w14:textId="77777777" w:rsidTr="004A606C">
        <w:trPr>
          <w:trHeight w:val="20"/>
        </w:trPr>
        <w:tc>
          <w:tcPr>
            <w:tcW w:w="0" w:type="auto"/>
            <w:tcBorders>
              <w:top w:val="nil"/>
              <w:left w:val="nil"/>
              <w:bottom w:val="nil"/>
              <w:right w:val="nil"/>
            </w:tcBorders>
            <w:shd w:val="clear" w:color="auto" w:fill="auto"/>
            <w:noWrap/>
            <w:vAlign w:val="center"/>
            <w:hideMark/>
          </w:tcPr>
          <w:p w14:paraId="249563E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225C69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E417C5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4C8A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306BEE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37A4F10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C07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6C771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DD59E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CDCA1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0FCF3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1CA0ACA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4F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r>
      <w:tr w:rsidR="008836A7" w:rsidRPr="005F7C3C" w14:paraId="48B35F7B" w14:textId="77777777" w:rsidTr="004A606C">
        <w:trPr>
          <w:trHeight w:val="20"/>
        </w:trPr>
        <w:tc>
          <w:tcPr>
            <w:tcW w:w="0" w:type="auto"/>
            <w:tcBorders>
              <w:top w:val="nil"/>
              <w:left w:val="nil"/>
              <w:bottom w:val="nil"/>
              <w:right w:val="nil"/>
            </w:tcBorders>
            <w:shd w:val="clear" w:color="auto" w:fill="auto"/>
            <w:noWrap/>
            <w:vAlign w:val="center"/>
            <w:hideMark/>
          </w:tcPr>
          <w:p w14:paraId="241BCB9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95D92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auto" w:fill="auto"/>
            <w:noWrap/>
            <w:vAlign w:val="center"/>
            <w:hideMark/>
          </w:tcPr>
          <w:p w14:paraId="75B714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A48C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42A8465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4CA01B1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B98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4A45C1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10FF47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2290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251760E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0CEE3B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77959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(0.83)</w:t>
            </w:r>
          </w:p>
        </w:tc>
      </w:tr>
      <w:tr w:rsidR="008836A7" w:rsidRPr="005F7C3C" w14:paraId="50FB4DF2" w14:textId="77777777" w:rsidTr="004A606C">
        <w:trPr>
          <w:trHeight w:val="20"/>
        </w:trPr>
        <w:tc>
          <w:tcPr>
            <w:tcW w:w="0" w:type="auto"/>
            <w:tcBorders>
              <w:top w:val="nil"/>
              <w:left w:val="nil"/>
              <w:bottom w:val="nil"/>
              <w:right w:val="nil"/>
            </w:tcBorders>
            <w:shd w:val="clear" w:color="auto" w:fill="auto"/>
            <w:noWrap/>
            <w:hideMark/>
          </w:tcPr>
          <w:p w14:paraId="2462DB6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8809E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20F1F7E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C050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55D49B3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8529A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EF394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3B7544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1CD063D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19239E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61C4C2E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4765CF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D9E3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r>
      <w:tr w:rsidR="008836A7" w:rsidRPr="005F7C3C" w14:paraId="30C5DF3C"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53EA1FD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57D38C2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69B3F42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7AB5DE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c>
          <w:tcPr>
            <w:tcW w:w="0" w:type="auto"/>
            <w:tcBorders>
              <w:top w:val="nil"/>
              <w:left w:val="nil"/>
              <w:bottom w:val="single" w:sz="4" w:space="0" w:color="auto"/>
              <w:right w:val="nil"/>
            </w:tcBorders>
            <w:shd w:val="clear" w:color="auto" w:fill="auto"/>
            <w:noWrap/>
            <w:hideMark/>
          </w:tcPr>
          <w:p w14:paraId="443E54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264C615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B3FE3C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w:t>
            </w:r>
          </w:p>
        </w:tc>
        <w:tc>
          <w:tcPr>
            <w:tcW w:w="0" w:type="auto"/>
            <w:tcBorders>
              <w:top w:val="nil"/>
              <w:left w:val="nil"/>
              <w:bottom w:val="single" w:sz="4" w:space="0" w:color="auto"/>
              <w:right w:val="nil"/>
            </w:tcBorders>
            <w:shd w:val="clear" w:color="auto" w:fill="auto"/>
            <w:noWrap/>
            <w:hideMark/>
          </w:tcPr>
          <w:p w14:paraId="3D1255E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c>
          <w:tcPr>
            <w:tcW w:w="0" w:type="auto"/>
            <w:tcBorders>
              <w:top w:val="nil"/>
              <w:left w:val="nil"/>
              <w:bottom w:val="single" w:sz="4" w:space="0" w:color="auto"/>
              <w:right w:val="nil"/>
            </w:tcBorders>
            <w:shd w:val="clear" w:color="auto" w:fill="auto"/>
            <w:noWrap/>
            <w:vAlign w:val="center"/>
            <w:hideMark/>
          </w:tcPr>
          <w:p w14:paraId="037789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1BDCAE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w:t>
            </w:r>
          </w:p>
        </w:tc>
        <w:tc>
          <w:tcPr>
            <w:tcW w:w="0" w:type="auto"/>
            <w:tcBorders>
              <w:top w:val="nil"/>
              <w:left w:val="nil"/>
              <w:bottom w:val="single" w:sz="4" w:space="0" w:color="auto"/>
              <w:right w:val="nil"/>
            </w:tcBorders>
            <w:shd w:val="clear" w:color="auto" w:fill="auto"/>
            <w:noWrap/>
            <w:hideMark/>
          </w:tcPr>
          <w:p w14:paraId="7C1CE4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7B800FA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7AE4A61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r>
      <w:tr w:rsidR="008836A7" w:rsidRPr="005F7C3C" w14:paraId="58F89FBB" w14:textId="77777777" w:rsidTr="004A606C">
        <w:trPr>
          <w:trHeight w:val="20"/>
        </w:trPr>
        <w:tc>
          <w:tcPr>
            <w:tcW w:w="0" w:type="auto"/>
            <w:tcBorders>
              <w:top w:val="nil"/>
              <w:left w:val="nil"/>
              <w:bottom w:val="nil"/>
              <w:right w:val="nil"/>
            </w:tcBorders>
            <w:shd w:val="clear" w:color="auto" w:fill="auto"/>
            <w:noWrap/>
            <w:hideMark/>
          </w:tcPr>
          <w:p w14:paraId="3211D0E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087C1B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31EC81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EE1E7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014E4A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C95821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EAD4E08"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99745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B41BE4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42D4B24"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A8510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C399F8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9A924E1" w14:textId="77777777" w:rsidR="008836A7" w:rsidRPr="005F7C3C" w:rsidRDefault="008836A7" w:rsidP="004A606C">
            <w:pPr>
              <w:contextualSpacing/>
              <w:rPr>
                <w:rFonts w:ascii="Times New Roman" w:eastAsia="Times New Roman" w:hAnsi="Times New Roman" w:cs="Times New Roman"/>
              </w:rPr>
            </w:pPr>
          </w:p>
        </w:tc>
      </w:tr>
      <w:tr w:rsidR="008836A7" w:rsidRPr="005F7C3C" w14:paraId="7F09D8D4" w14:textId="77777777" w:rsidTr="004A606C">
        <w:trPr>
          <w:trHeight w:val="20"/>
        </w:trPr>
        <w:tc>
          <w:tcPr>
            <w:tcW w:w="0" w:type="auto"/>
            <w:tcBorders>
              <w:top w:val="nil"/>
              <w:left w:val="nil"/>
              <w:bottom w:val="nil"/>
              <w:right w:val="nil"/>
            </w:tcBorders>
            <w:shd w:val="clear" w:color="auto" w:fill="auto"/>
            <w:noWrap/>
            <w:vAlign w:val="center"/>
            <w:hideMark/>
          </w:tcPr>
          <w:p w14:paraId="5514BA8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17448E9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2.325%</w:t>
            </w:r>
          </w:p>
        </w:tc>
        <w:tc>
          <w:tcPr>
            <w:tcW w:w="0" w:type="auto"/>
            <w:tcBorders>
              <w:top w:val="nil"/>
              <w:left w:val="nil"/>
              <w:bottom w:val="nil"/>
              <w:right w:val="nil"/>
            </w:tcBorders>
            <w:shd w:val="clear" w:color="auto" w:fill="auto"/>
            <w:noWrap/>
            <w:vAlign w:val="bottom"/>
            <w:hideMark/>
          </w:tcPr>
          <w:p w14:paraId="3C1FA7A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57069B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64958C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2.318%</w:t>
            </w:r>
          </w:p>
        </w:tc>
        <w:tc>
          <w:tcPr>
            <w:tcW w:w="0" w:type="auto"/>
            <w:tcBorders>
              <w:top w:val="nil"/>
              <w:left w:val="nil"/>
              <w:bottom w:val="nil"/>
              <w:right w:val="nil"/>
            </w:tcBorders>
            <w:shd w:val="clear" w:color="auto" w:fill="auto"/>
            <w:noWrap/>
            <w:vAlign w:val="bottom"/>
            <w:hideMark/>
          </w:tcPr>
          <w:p w14:paraId="5834E7A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0A7BE8C"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3E45C2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2.358%</w:t>
            </w:r>
          </w:p>
        </w:tc>
        <w:tc>
          <w:tcPr>
            <w:tcW w:w="0" w:type="auto"/>
            <w:tcBorders>
              <w:top w:val="nil"/>
              <w:left w:val="nil"/>
              <w:bottom w:val="nil"/>
              <w:right w:val="nil"/>
            </w:tcBorders>
            <w:shd w:val="clear" w:color="auto" w:fill="auto"/>
            <w:noWrap/>
            <w:vAlign w:val="bottom"/>
            <w:hideMark/>
          </w:tcPr>
          <w:p w14:paraId="153AC0D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A059D87"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1479033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2.362%</w:t>
            </w:r>
          </w:p>
        </w:tc>
        <w:tc>
          <w:tcPr>
            <w:tcW w:w="0" w:type="auto"/>
            <w:tcBorders>
              <w:top w:val="nil"/>
              <w:left w:val="nil"/>
              <w:bottom w:val="nil"/>
              <w:right w:val="nil"/>
            </w:tcBorders>
            <w:shd w:val="clear" w:color="auto" w:fill="auto"/>
            <w:noWrap/>
            <w:vAlign w:val="bottom"/>
            <w:hideMark/>
          </w:tcPr>
          <w:p w14:paraId="017CE6D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FAF9C3F" w14:textId="77777777" w:rsidR="008836A7" w:rsidRPr="005F7C3C" w:rsidRDefault="008836A7" w:rsidP="004A606C">
            <w:pPr>
              <w:contextualSpacing/>
              <w:rPr>
                <w:rFonts w:ascii="Times New Roman" w:eastAsia="Times New Roman" w:hAnsi="Times New Roman" w:cs="Times New Roman"/>
              </w:rPr>
            </w:pPr>
          </w:p>
        </w:tc>
      </w:tr>
      <w:tr w:rsidR="008836A7" w:rsidRPr="005F7C3C" w14:paraId="385A4856"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D02E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488EC8C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8BA2A5B"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F79C4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1E334AF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0D023F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C00E86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9E106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18AFD92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D2AC55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5CE1BD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5B3B2C7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2617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bl>
    <w:p w14:paraId="7ED0F94E" w14:textId="65EE91C0" w:rsidR="004A606C" w:rsidRPr="004A606C" w:rsidRDefault="004A606C" w:rsidP="004A606C">
      <w:pPr>
        <w:rPr>
          <w:rFonts w:ascii="Times New Roman" w:eastAsia="Times New Roman" w:hAnsi="Times New Roman" w:cs="Times New Roman"/>
          <w:color w:val="000000"/>
          <w:sz w:val="20"/>
        </w:rPr>
      </w:pPr>
      <w:r w:rsidRPr="004A606C">
        <w:rPr>
          <w:rFonts w:ascii="Times New Roman" w:eastAsia="Times New Roman" w:hAnsi="Times New Roman" w:cs="Times New Roman"/>
          <w:color w:val="000000"/>
          <w:sz w:val="20"/>
        </w:rPr>
        <w:t xml:space="preserve">Notes:  Table </w:t>
      </w:r>
      <w:r w:rsidR="005F7C3C">
        <w:rPr>
          <w:rFonts w:ascii="Times New Roman" w:eastAsia="Times New Roman" w:hAnsi="Times New Roman" w:cs="Times New Roman"/>
          <w:color w:val="000000"/>
          <w:sz w:val="20"/>
        </w:rPr>
        <w:t>2</w:t>
      </w:r>
      <w:r w:rsidRPr="004A606C">
        <w:rPr>
          <w:rFonts w:ascii="Times New Roman" w:eastAsia="Times New Roman" w:hAnsi="Times New Roman" w:cs="Times New Roman"/>
          <w:color w:val="000000"/>
          <w:sz w:val="20"/>
        </w:rPr>
        <w:t xml:space="preserve"> reports the estimation results of the regression on changes in bid-ask spreads. All of the continuous variables are </w:t>
      </w:r>
      <w:proofErr w:type="spellStart"/>
      <w:r w:rsidRPr="004A606C">
        <w:rPr>
          <w:rFonts w:ascii="Times New Roman" w:eastAsia="Times New Roman" w:hAnsi="Times New Roman" w:cs="Times New Roman"/>
          <w:color w:val="000000"/>
          <w:sz w:val="20"/>
        </w:rPr>
        <w:t>winsorized</w:t>
      </w:r>
      <w:proofErr w:type="spellEnd"/>
      <w:r w:rsidRPr="004A606C">
        <w:rPr>
          <w:rFonts w:ascii="Times New Roman" w:eastAsia="Times New Roman" w:hAnsi="Times New Roman" w:cs="Times New Roman"/>
          <w:color w:val="000000"/>
          <w:sz w:val="20"/>
        </w:rPr>
        <w:t xml:space="preserve"> at the 1st and 99th percentiles, while t-statistics in parentheses are adjusted for clustering of observations by firm and date of conference calls. All the variables are defined in </w:t>
      </w:r>
      <w:r w:rsidR="00B32CC9">
        <w:rPr>
          <w:rFonts w:ascii="Times New Roman" w:eastAsia="Times New Roman" w:hAnsi="Times New Roman" w:cs="Times New Roman"/>
          <w:color w:val="000000"/>
          <w:sz w:val="20"/>
        </w:rPr>
        <w:t xml:space="preserve">the </w:t>
      </w:r>
      <w:r w:rsidRPr="004A606C">
        <w:rPr>
          <w:rFonts w:ascii="Times New Roman" w:eastAsia="Times New Roman" w:hAnsi="Times New Roman" w:cs="Times New Roman"/>
          <w:color w:val="000000"/>
          <w:sz w:val="20"/>
        </w:rPr>
        <w:t>Appendix. *, **, *** Indicate coefficients that are significant at the 10 percent, 5 percent, and 1 percent levels</w:t>
      </w:r>
      <w:r w:rsidR="00B32CC9">
        <w:rPr>
          <w:rFonts w:ascii="Times New Roman" w:eastAsia="Times New Roman" w:hAnsi="Times New Roman" w:cs="Times New Roman"/>
          <w:color w:val="000000"/>
          <w:sz w:val="20"/>
        </w:rPr>
        <w:t xml:space="preserve"> </w:t>
      </w:r>
      <w:r w:rsidR="00B32CC9">
        <w:rPr>
          <w:rFonts w:ascii="Times New Roman" w:eastAsia="Times New Roman" w:hAnsi="Times New Roman" w:cs="Times New Roman"/>
          <w:color w:val="000000"/>
          <w:sz w:val="20"/>
          <w:szCs w:val="20"/>
        </w:rPr>
        <w:t>in the two-tailed tests</w:t>
      </w:r>
      <w:r w:rsidRPr="004A606C">
        <w:rPr>
          <w:rFonts w:ascii="Times New Roman" w:eastAsia="Times New Roman" w:hAnsi="Times New Roman" w:cs="Times New Roman"/>
          <w:color w:val="000000"/>
          <w:sz w:val="20"/>
        </w:rPr>
        <w:t>, respectively.</w:t>
      </w:r>
    </w:p>
    <w:p w14:paraId="39DA5FE7" w14:textId="77777777" w:rsidR="008836A7" w:rsidRPr="008836A7" w:rsidRDefault="008836A7" w:rsidP="004A606C">
      <w:pPr>
        <w:rPr>
          <w:rFonts w:ascii="Times New Roman" w:eastAsia="Times New Roman" w:hAnsi="Times New Roman" w:cs="Times New Roman"/>
          <w:b/>
          <w:bCs/>
          <w:color w:val="000000"/>
          <w:sz w:val="24"/>
        </w:rPr>
      </w:pPr>
    </w:p>
    <w:p w14:paraId="3440C77C" w14:textId="49511CE0" w:rsidR="004A606C" w:rsidRDefault="004A606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FC6FB93" w14:textId="77777777" w:rsidR="004A606C" w:rsidRP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lastRenderedPageBreak/>
        <w:t>Table 3</w:t>
      </w:r>
    </w:p>
    <w:p w14:paraId="47CD8D2C" w14:textId="6DF7F3D5" w:rsidR="008836A7"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t>Regressions of Analyst Forecast Errors</w:t>
      </w:r>
    </w:p>
    <w:p w14:paraId="5C521F40" w14:textId="77777777"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821"/>
        <w:gridCol w:w="1041"/>
        <w:gridCol w:w="546"/>
        <w:gridCol w:w="821"/>
        <w:gridCol w:w="1041"/>
        <w:gridCol w:w="546"/>
        <w:gridCol w:w="821"/>
        <w:gridCol w:w="1041"/>
        <w:gridCol w:w="546"/>
        <w:gridCol w:w="821"/>
      </w:tblGrid>
      <w:tr w:rsidR="004A606C" w:rsidRPr="004A606C" w14:paraId="501FC5D6"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4EE60BD6" w14:textId="77777777" w:rsidR="004A606C" w:rsidRPr="004A606C" w:rsidRDefault="004A606C" w:rsidP="004A606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6A60F405"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Dependent Variable = Change in AFERROR</w:t>
            </w:r>
          </w:p>
        </w:tc>
        <w:tc>
          <w:tcPr>
            <w:tcW w:w="0" w:type="auto"/>
            <w:tcBorders>
              <w:top w:val="single" w:sz="4" w:space="0" w:color="auto"/>
              <w:left w:val="nil"/>
              <w:bottom w:val="nil"/>
              <w:right w:val="nil"/>
            </w:tcBorders>
            <w:shd w:val="clear" w:color="auto" w:fill="auto"/>
            <w:noWrap/>
            <w:vAlign w:val="bottom"/>
            <w:hideMark/>
          </w:tcPr>
          <w:p w14:paraId="247E5782" w14:textId="77777777" w:rsidR="004A606C" w:rsidRPr="004A606C" w:rsidRDefault="004A606C" w:rsidP="004A606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1DEFDB17" w14:textId="77777777" w:rsidR="004A606C" w:rsidRPr="004A606C" w:rsidRDefault="004A606C" w:rsidP="004A606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15B4B210" w14:textId="77777777" w:rsidR="004A606C" w:rsidRPr="004A606C" w:rsidRDefault="004A606C" w:rsidP="004A606C">
            <w:pPr>
              <w:rPr>
                <w:rFonts w:ascii="Times New Roman" w:eastAsia="Times New Roman" w:hAnsi="Times New Roman" w:cs="Times New Roman"/>
              </w:rPr>
            </w:pPr>
          </w:p>
        </w:tc>
      </w:tr>
      <w:tr w:rsidR="004A606C" w:rsidRPr="004A606C" w14:paraId="055F79D2" w14:textId="77777777" w:rsidTr="004A606C">
        <w:trPr>
          <w:trHeight w:val="20"/>
        </w:trPr>
        <w:tc>
          <w:tcPr>
            <w:tcW w:w="0" w:type="auto"/>
            <w:tcBorders>
              <w:top w:val="nil"/>
              <w:left w:val="nil"/>
              <w:bottom w:val="nil"/>
              <w:right w:val="nil"/>
            </w:tcBorders>
            <w:shd w:val="clear" w:color="auto" w:fill="auto"/>
            <w:noWrap/>
            <w:vAlign w:val="bottom"/>
            <w:hideMark/>
          </w:tcPr>
          <w:p w14:paraId="6DF57B28" w14:textId="77777777" w:rsidR="004A606C" w:rsidRPr="004A606C" w:rsidRDefault="004A606C" w:rsidP="004A606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7D829441"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157E8304"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3174FE9B"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70584517"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CONSER_PCA</w:t>
            </w:r>
          </w:p>
        </w:tc>
      </w:tr>
      <w:tr w:rsidR="004A606C" w:rsidRPr="004A606C" w14:paraId="62387FC7" w14:textId="77777777" w:rsidTr="004A606C">
        <w:trPr>
          <w:trHeight w:val="20"/>
        </w:trPr>
        <w:tc>
          <w:tcPr>
            <w:tcW w:w="0" w:type="auto"/>
            <w:tcBorders>
              <w:top w:val="nil"/>
              <w:left w:val="nil"/>
              <w:bottom w:val="nil"/>
              <w:right w:val="nil"/>
            </w:tcBorders>
            <w:shd w:val="clear" w:color="auto" w:fill="auto"/>
            <w:noWrap/>
            <w:vAlign w:val="bottom"/>
            <w:hideMark/>
          </w:tcPr>
          <w:p w14:paraId="3AD12782" w14:textId="77777777" w:rsidR="004A606C" w:rsidRPr="004A606C" w:rsidRDefault="004A606C" w:rsidP="004A606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4E5853D"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743534EC"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383C31AE"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784AA212"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(4)</w:t>
            </w:r>
          </w:p>
        </w:tc>
      </w:tr>
      <w:tr w:rsidR="004A606C" w:rsidRPr="005F7C3C" w14:paraId="2156078B"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2C8ADD3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665584B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9D10C0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3C6BD62"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5A5C40D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02FD1E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593FF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9C1A6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5267ACD"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041D1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817C2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994A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DD78D5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r>
      <w:tr w:rsidR="004A606C" w:rsidRPr="005F7C3C" w14:paraId="044C6BEB" w14:textId="77777777" w:rsidTr="004A606C">
        <w:trPr>
          <w:trHeight w:val="20"/>
        </w:trPr>
        <w:tc>
          <w:tcPr>
            <w:tcW w:w="0" w:type="auto"/>
            <w:tcBorders>
              <w:top w:val="nil"/>
              <w:left w:val="nil"/>
              <w:bottom w:val="nil"/>
              <w:right w:val="nil"/>
            </w:tcBorders>
            <w:shd w:val="clear" w:color="auto" w:fill="auto"/>
            <w:noWrap/>
            <w:vAlign w:val="bottom"/>
            <w:hideMark/>
          </w:tcPr>
          <w:p w14:paraId="7C6C172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59C1A4E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0.3592</w:t>
            </w:r>
          </w:p>
        </w:tc>
        <w:tc>
          <w:tcPr>
            <w:tcW w:w="0" w:type="auto"/>
            <w:tcBorders>
              <w:top w:val="nil"/>
              <w:left w:val="nil"/>
              <w:bottom w:val="nil"/>
              <w:right w:val="nil"/>
            </w:tcBorders>
            <w:shd w:val="clear" w:color="auto" w:fill="auto"/>
            <w:noWrap/>
            <w:vAlign w:val="center"/>
            <w:hideMark/>
          </w:tcPr>
          <w:p w14:paraId="74DF716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0E6D8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(6.74)</w:t>
            </w:r>
          </w:p>
        </w:tc>
        <w:tc>
          <w:tcPr>
            <w:tcW w:w="0" w:type="auto"/>
            <w:tcBorders>
              <w:top w:val="nil"/>
              <w:left w:val="nil"/>
              <w:bottom w:val="nil"/>
              <w:right w:val="nil"/>
            </w:tcBorders>
            <w:shd w:val="clear" w:color="auto" w:fill="auto"/>
            <w:noWrap/>
            <w:hideMark/>
          </w:tcPr>
          <w:p w14:paraId="338DEB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0.3221</w:t>
            </w:r>
          </w:p>
        </w:tc>
        <w:tc>
          <w:tcPr>
            <w:tcW w:w="0" w:type="auto"/>
            <w:tcBorders>
              <w:top w:val="nil"/>
              <w:left w:val="nil"/>
              <w:bottom w:val="nil"/>
              <w:right w:val="nil"/>
            </w:tcBorders>
            <w:shd w:val="clear" w:color="auto" w:fill="auto"/>
            <w:noWrap/>
            <w:vAlign w:val="center"/>
            <w:hideMark/>
          </w:tcPr>
          <w:p w14:paraId="6693646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80BDB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(6.30)</w:t>
            </w:r>
          </w:p>
        </w:tc>
        <w:tc>
          <w:tcPr>
            <w:tcW w:w="0" w:type="auto"/>
            <w:tcBorders>
              <w:top w:val="nil"/>
              <w:left w:val="nil"/>
              <w:bottom w:val="nil"/>
              <w:right w:val="nil"/>
            </w:tcBorders>
            <w:shd w:val="clear" w:color="auto" w:fill="auto"/>
            <w:noWrap/>
            <w:hideMark/>
          </w:tcPr>
          <w:p w14:paraId="48FB8C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0.3600</w:t>
            </w:r>
          </w:p>
        </w:tc>
        <w:tc>
          <w:tcPr>
            <w:tcW w:w="0" w:type="auto"/>
            <w:tcBorders>
              <w:top w:val="nil"/>
              <w:left w:val="nil"/>
              <w:bottom w:val="nil"/>
              <w:right w:val="nil"/>
            </w:tcBorders>
            <w:shd w:val="clear" w:color="auto" w:fill="auto"/>
            <w:noWrap/>
            <w:vAlign w:val="center"/>
            <w:hideMark/>
          </w:tcPr>
          <w:p w14:paraId="75533EB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9B0A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(6.37)</w:t>
            </w:r>
          </w:p>
        </w:tc>
        <w:tc>
          <w:tcPr>
            <w:tcW w:w="0" w:type="auto"/>
            <w:tcBorders>
              <w:top w:val="nil"/>
              <w:left w:val="nil"/>
              <w:bottom w:val="nil"/>
              <w:right w:val="nil"/>
            </w:tcBorders>
            <w:shd w:val="clear" w:color="auto" w:fill="auto"/>
            <w:noWrap/>
            <w:hideMark/>
          </w:tcPr>
          <w:p w14:paraId="77F0325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0.3632</w:t>
            </w:r>
          </w:p>
        </w:tc>
        <w:tc>
          <w:tcPr>
            <w:tcW w:w="0" w:type="auto"/>
            <w:tcBorders>
              <w:top w:val="nil"/>
              <w:left w:val="nil"/>
              <w:bottom w:val="nil"/>
              <w:right w:val="nil"/>
            </w:tcBorders>
            <w:shd w:val="clear" w:color="auto" w:fill="auto"/>
            <w:noWrap/>
            <w:vAlign w:val="center"/>
            <w:hideMark/>
          </w:tcPr>
          <w:p w14:paraId="54C8F8A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F7AA4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(6.78)</w:t>
            </w:r>
          </w:p>
        </w:tc>
      </w:tr>
      <w:tr w:rsidR="004A606C" w:rsidRPr="005F7C3C" w14:paraId="19EA3838" w14:textId="77777777" w:rsidTr="004A606C">
        <w:trPr>
          <w:trHeight w:val="20"/>
        </w:trPr>
        <w:tc>
          <w:tcPr>
            <w:tcW w:w="0" w:type="auto"/>
            <w:tcBorders>
              <w:top w:val="nil"/>
              <w:left w:val="nil"/>
              <w:bottom w:val="nil"/>
              <w:right w:val="nil"/>
            </w:tcBorders>
            <w:shd w:val="clear" w:color="auto" w:fill="auto"/>
            <w:noWrap/>
            <w:hideMark/>
          </w:tcPr>
          <w:p w14:paraId="02D4CF1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91992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2514319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BFBA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050C3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0.0839</w:t>
            </w:r>
          </w:p>
        </w:tc>
        <w:tc>
          <w:tcPr>
            <w:tcW w:w="0" w:type="auto"/>
            <w:tcBorders>
              <w:top w:val="nil"/>
              <w:left w:val="nil"/>
              <w:bottom w:val="nil"/>
              <w:right w:val="nil"/>
            </w:tcBorders>
            <w:shd w:val="clear" w:color="auto" w:fill="auto"/>
            <w:noWrap/>
            <w:vAlign w:val="center"/>
            <w:hideMark/>
          </w:tcPr>
          <w:p w14:paraId="157B76C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88C7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65A421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-0.0176</w:t>
            </w:r>
          </w:p>
        </w:tc>
        <w:tc>
          <w:tcPr>
            <w:tcW w:w="0" w:type="auto"/>
            <w:tcBorders>
              <w:top w:val="nil"/>
              <w:left w:val="nil"/>
              <w:bottom w:val="nil"/>
              <w:right w:val="nil"/>
            </w:tcBorders>
            <w:shd w:val="clear" w:color="auto" w:fill="auto"/>
            <w:noWrap/>
            <w:vAlign w:val="center"/>
            <w:hideMark/>
          </w:tcPr>
          <w:p w14:paraId="2FA6E00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ED145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3531C5A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5178DAD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70E41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r>
      <w:tr w:rsidR="004A606C" w:rsidRPr="005F7C3C" w14:paraId="58B2A4A9" w14:textId="77777777" w:rsidTr="004A606C">
        <w:trPr>
          <w:trHeight w:val="20"/>
        </w:trPr>
        <w:tc>
          <w:tcPr>
            <w:tcW w:w="0" w:type="auto"/>
            <w:tcBorders>
              <w:top w:val="nil"/>
              <w:left w:val="nil"/>
              <w:bottom w:val="nil"/>
              <w:right w:val="nil"/>
            </w:tcBorders>
            <w:shd w:val="clear" w:color="auto" w:fill="auto"/>
            <w:noWrap/>
            <w:hideMark/>
          </w:tcPr>
          <w:p w14:paraId="497B803B"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1F320A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-0.0295</w:t>
            </w:r>
          </w:p>
        </w:tc>
        <w:tc>
          <w:tcPr>
            <w:tcW w:w="0" w:type="auto"/>
            <w:tcBorders>
              <w:top w:val="nil"/>
              <w:left w:val="nil"/>
              <w:bottom w:val="nil"/>
              <w:right w:val="nil"/>
            </w:tcBorders>
            <w:shd w:val="clear" w:color="auto" w:fill="auto"/>
            <w:noWrap/>
            <w:vAlign w:val="center"/>
            <w:hideMark/>
          </w:tcPr>
          <w:p w14:paraId="0737F8D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95117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06F054F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CF7EEE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95F5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c>
          <w:tcPr>
            <w:tcW w:w="0" w:type="auto"/>
            <w:tcBorders>
              <w:top w:val="nil"/>
              <w:left w:val="nil"/>
              <w:bottom w:val="nil"/>
              <w:right w:val="nil"/>
            </w:tcBorders>
            <w:shd w:val="clear" w:color="auto" w:fill="auto"/>
            <w:noWrap/>
            <w:hideMark/>
          </w:tcPr>
          <w:p w14:paraId="39FB1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707FDD3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568A5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(0.14)</w:t>
            </w:r>
          </w:p>
        </w:tc>
        <w:tc>
          <w:tcPr>
            <w:tcW w:w="0" w:type="auto"/>
            <w:tcBorders>
              <w:top w:val="nil"/>
              <w:left w:val="nil"/>
              <w:bottom w:val="nil"/>
              <w:right w:val="nil"/>
            </w:tcBorders>
            <w:shd w:val="clear" w:color="auto" w:fill="auto"/>
            <w:noWrap/>
            <w:hideMark/>
          </w:tcPr>
          <w:p w14:paraId="3705A2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-0.0297</w:t>
            </w:r>
          </w:p>
        </w:tc>
        <w:tc>
          <w:tcPr>
            <w:tcW w:w="0" w:type="auto"/>
            <w:tcBorders>
              <w:top w:val="nil"/>
              <w:left w:val="nil"/>
              <w:bottom w:val="nil"/>
              <w:right w:val="nil"/>
            </w:tcBorders>
            <w:shd w:val="clear" w:color="auto" w:fill="auto"/>
            <w:noWrap/>
            <w:vAlign w:val="center"/>
            <w:hideMark/>
          </w:tcPr>
          <w:p w14:paraId="6E33A32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0609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r>
      <w:tr w:rsidR="004A606C" w:rsidRPr="005F7C3C" w14:paraId="3BB10682" w14:textId="77777777" w:rsidTr="004A606C">
        <w:trPr>
          <w:trHeight w:val="20"/>
        </w:trPr>
        <w:tc>
          <w:tcPr>
            <w:tcW w:w="0" w:type="auto"/>
            <w:tcBorders>
              <w:top w:val="nil"/>
              <w:left w:val="nil"/>
              <w:bottom w:val="nil"/>
              <w:right w:val="nil"/>
            </w:tcBorders>
            <w:shd w:val="clear" w:color="auto" w:fill="auto"/>
            <w:noWrap/>
            <w:hideMark/>
          </w:tcPr>
          <w:p w14:paraId="5863C128" w14:textId="77777777" w:rsidR="004A606C" w:rsidRPr="004A606C" w:rsidRDefault="004A606C" w:rsidP="004A606C">
            <w:pP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5F60C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-0.0682</w:t>
            </w:r>
          </w:p>
        </w:tc>
        <w:tc>
          <w:tcPr>
            <w:tcW w:w="0" w:type="auto"/>
            <w:tcBorders>
              <w:top w:val="nil"/>
              <w:left w:val="nil"/>
              <w:bottom w:val="nil"/>
              <w:right w:val="nil"/>
            </w:tcBorders>
            <w:shd w:val="clear" w:color="auto" w:fill="auto"/>
            <w:noWrap/>
            <w:vAlign w:val="center"/>
            <w:hideMark/>
          </w:tcPr>
          <w:p w14:paraId="4B4E271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03E919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(-3.14)</w:t>
            </w:r>
          </w:p>
        </w:tc>
        <w:tc>
          <w:tcPr>
            <w:tcW w:w="0" w:type="auto"/>
            <w:tcBorders>
              <w:top w:val="nil"/>
              <w:left w:val="nil"/>
              <w:bottom w:val="nil"/>
              <w:right w:val="nil"/>
            </w:tcBorders>
            <w:shd w:val="clear" w:color="auto" w:fill="auto"/>
            <w:noWrap/>
            <w:hideMark/>
          </w:tcPr>
          <w:p w14:paraId="4B635D5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-0.1063</w:t>
            </w:r>
          </w:p>
        </w:tc>
        <w:tc>
          <w:tcPr>
            <w:tcW w:w="0" w:type="auto"/>
            <w:tcBorders>
              <w:top w:val="nil"/>
              <w:left w:val="nil"/>
              <w:bottom w:val="nil"/>
              <w:right w:val="nil"/>
            </w:tcBorders>
            <w:shd w:val="clear" w:color="auto" w:fill="auto"/>
            <w:noWrap/>
            <w:vAlign w:val="center"/>
            <w:hideMark/>
          </w:tcPr>
          <w:p w14:paraId="3DFFA6A5"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3A8E6F4"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(-2.58)</w:t>
            </w:r>
          </w:p>
        </w:tc>
        <w:tc>
          <w:tcPr>
            <w:tcW w:w="0" w:type="auto"/>
            <w:tcBorders>
              <w:top w:val="nil"/>
              <w:left w:val="nil"/>
              <w:bottom w:val="nil"/>
              <w:right w:val="nil"/>
            </w:tcBorders>
            <w:shd w:val="clear" w:color="auto" w:fill="auto"/>
            <w:noWrap/>
            <w:hideMark/>
          </w:tcPr>
          <w:p w14:paraId="51B0DE6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-0.0779</w:t>
            </w:r>
          </w:p>
        </w:tc>
        <w:tc>
          <w:tcPr>
            <w:tcW w:w="0" w:type="auto"/>
            <w:tcBorders>
              <w:top w:val="nil"/>
              <w:left w:val="nil"/>
              <w:bottom w:val="nil"/>
              <w:right w:val="nil"/>
            </w:tcBorders>
            <w:shd w:val="clear" w:color="auto" w:fill="auto"/>
            <w:noWrap/>
            <w:vAlign w:val="center"/>
            <w:hideMark/>
          </w:tcPr>
          <w:p w14:paraId="0951055D"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0447828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(-2.63)</w:t>
            </w:r>
          </w:p>
        </w:tc>
        <w:tc>
          <w:tcPr>
            <w:tcW w:w="0" w:type="auto"/>
            <w:tcBorders>
              <w:top w:val="nil"/>
              <w:left w:val="nil"/>
              <w:bottom w:val="nil"/>
              <w:right w:val="nil"/>
            </w:tcBorders>
            <w:shd w:val="clear" w:color="auto" w:fill="auto"/>
            <w:noWrap/>
            <w:hideMark/>
          </w:tcPr>
          <w:p w14:paraId="46662771"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-0.0712</w:t>
            </w:r>
          </w:p>
        </w:tc>
        <w:tc>
          <w:tcPr>
            <w:tcW w:w="0" w:type="auto"/>
            <w:tcBorders>
              <w:top w:val="nil"/>
              <w:left w:val="nil"/>
              <w:bottom w:val="nil"/>
              <w:right w:val="nil"/>
            </w:tcBorders>
            <w:shd w:val="clear" w:color="auto" w:fill="auto"/>
            <w:noWrap/>
            <w:vAlign w:val="center"/>
            <w:hideMark/>
          </w:tcPr>
          <w:p w14:paraId="5803E3B4"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8435F7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(-3.27)</w:t>
            </w:r>
          </w:p>
        </w:tc>
      </w:tr>
      <w:tr w:rsidR="004A606C" w:rsidRPr="005F7C3C" w14:paraId="0BCFFC68" w14:textId="77777777" w:rsidTr="004A606C">
        <w:trPr>
          <w:trHeight w:val="20"/>
        </w:trPr>
        <w:tc>
          <w:tcPr>
            <w:tcW w:w="0" w:type="auto"/>
            <w:tcBorders>
              <w:top w:val="nil"/>
              <w:left w:val="nil"/>
              <w:bottom w:val="nil"/>
              <w:right w:val="nil"/>
            </w:tcBorders>
            <w:shd w:val="clear" w:color="auto" w:fill="auto"/>
            <w:noWrap/>
            <w:hideMark/>
          </w:tcPr>
          <w:p w14:paraId="115373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979702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-0.1116</w:t>
            </w:r>
          </w:p>
        </w:tc>
        <w:tc>
          <w:tcPr>
            <w:tcW w:w="0" w:type="auto"/>
            <w:tcBorders>
              <w:top w:val="nil"/>
              <w:left w:val="nil"/>
              <w:bottom w:val="nil"/>
              <w:right w:val="nil"/>
            </w:tcBorders>
            <w:shd w:val="clear" w:color="auto" w:fill="auto"/>
            <w:noWrap/>
            <w:vAlign w:val="center"/>
            <w:hideMark/>
          </w:tcPr>
          <w:p w14:paraId="52CFBB4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50F82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c>
          <w:tcPr>
            <w:tcW w:w="0" w:type="auto"/>
            <w:tcBorders>
              <w:top w:val="nil"/>
              <w:left w:val="nil"/>
              <w:bottom w:val="nil"/>
              <w:right w:val="nil"/>
            </w:tcBorders>
            <w:shd w:val="clear" w:color="auto" w:fill="auto"/>
            <w:noWrap/>
            <w:hideMark/>
          </w:tcPr>
          <w:p w14:paraId="6B4CA3B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-0.1086</w:t>
            </w:r>
          </w:p>
        </w:tc>
        <w:tc>
          <w:tcPr>
            <w:tcW w:w="0" w:type="auto"/>
            <w:tcBorders>
              <w:top w:val="nil"/>
              <w:left w:val="nil"/>
              <w:bottom w:val="nil"/>
              <w:right w:val="nil"/>
            </w:tcBorders>
            <w:shd w:val="clear" w:color="auto" w:fill="auto"/>
            <w:noWrap/>
            <w:vAlign w:val="center"/>
            <w:hideMark/>
          </w:tcPr>
          <w:p w14:paraId="7631A27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3446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(-2.57)</w:t>
            </w:r>
          </w:p>
        </w:tc>
        <w:tc>
          <w:tcPr>
            <w:tcW w:w="0" w:type="auto"/>
            <w:tcBorders>
              <w:top w:val="nil"/>
              <w:left w:val="nil"/>
              <w:bottom w:val="nil"/>
              <w:right w:val="nil"/>
            </w:tcBorders>
            <w:shd w:val="clear" w:color="auto" w:fill="auto"/>
            <w:noWrap/>
            <w:hideMark/>
          </w:tcPr>
          <w:p w14:paraId="6ED385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-0.1163</w:t>
            </w:r>
          </w:p>
        </w:tc>
        <w:tc>
          <w:tcPr>
            <w:tcW w:w="0" w:type="auto"/>
            <w:tcBorders>
              <w:top w:val="nil"/>
              <w:left w:val="nil"/>
              <w:bottom w:val="nil"/>
              <w:right w:val="nil"/>
            </w:tcBorders>
            <w:shd w:val="clear" w:color="auto" w:fill="auto"/>
            <w:noWrap/>
            <w:vAlign w:val="center"/>
            <w:hideMark/>
          </w:tcPr>
          <w:p w14:paraId="43C76C8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9B9D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7105BAD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-0.1117</w:t>
            </w:r>
          </w:p>
        </w:tc>
        <w:tc>
          <w:tcPr>
            <w:tcW w:w="0" w:type="auto"/>
            <w:tcBorders>
              <w:top w:val="nil"/>
              <w:left w:val="nil"/>
              <w:bottom w:val="nil"/>
              <w:right w:val="nil"/>
            </w:tcBorders>
            <w:shd w:val="clear" w:color="auto" w:fill="auto"/>
            <w:noWrap/>
            <w:vAlign w:val="center"/>
            <w:hideMark/>
          </w:tcPr>
          <w:p w14:paraId="03DD1F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1E708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r>
      <w:tr w:rsidR="004A606C" w:rsidRPr="005F7C3C" w14:paraId="6CCDC1CC" w14:textId="77777777" w:rsidTr="004A606C">
        <w:trPr>
          <w:trHeight w:val="20"/>
        </w:trPr>
        <w:tc>
          <w:tcPr>
            <w:tcW w:w="0" w:type="auto"/>
            <w:tcBorders>
              <w:top w:val="nil"/>
              <w:left w:val="nil"/>
              <w:bottom w:val="nil"/>
              <w:right w:val="nil"/>
            </w:tcBorders>
            <w:shd w:val="clear" w:color="auto" w:fill="auto"/>
            <w:noWrap/>
            <w:hideMark/>
          </w:tcPr>
          <w:p w14:paraId="4512E3F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00BF7D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-0.0328</w:t>
            </w:r>
          </w:p>
        </w:tc>
        <w:tc>
          <w:tcPr>
            <w:tcW w:w="0" w:type="auto"/>
            <w:tcBorders>
              <w:top w:val="nil"/>
              <w:left w:val="nil"/>
              <w:bottom w:val="nil"/>
              <w:right w:val="nil"/>
            </w:tcBorders>
            <w:shd w:val="clear" w:color="auto" w:fill="auto"/>
            <w:noWrap/>
            <w:vAlign w:val="center"/>
            <w:hideMark/>
          </w:tcPr>
          <w:p w14:paraId="4D36CA4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FA5DA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24E6E75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-0.0311</w:t>
            </w:r>
          </w:p>
        </w:tc>
        <w:tc>
          <w:tcPr>
            <w:tcW w:w="0" w:type="auto"/>
            <w:tcBorders>
              <w:top w:val="nil"/>
              <w:left w:val="nil"/>
              <w:bottom w:val="nil"/>
              <w:right w:val="nil"/>
            </w:tcBorders>
            <w:shd w:val="clear" w:color="auto" w:fill="auto"/>
            <w:noWrap/>
            <w:vAlign w:val="center"/>
            <w:hideMark/>
          </w:tcPr>
          <w:p w14:paraId="4946E0F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31E3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(-1.02)</w:t>
            </w:r>
          </w:p>
        </w:tc>
        <w:tc>
          <w:tcPr>
            <w:tcW w:w="0" w:type="auto"/>
            <w:tcBorders>
              <w:top w:val="nil"/>
              <w:left w:val="nil"/>
              <w:bottom w:val="nil"/>
              <w:right w:val="nil"/>
            </w:tcBorders>
            <w:shd w:val="clear" w:color="auto" w:fill="auto"/>
            <w:noWrap/>
            <w:hideMark/>
          </w:tcPr>
          <w:p w14:paraId="77E75D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-0.0278</w:t>
            </w:r>
          </w:p>
        </w:tc>
        <w:tc>
          <w:tcPr>
            <w:tcW w:w="0" w:type="auto"/>
            <w:tcBorders>
              <w:top w:val="nil"/>
              <w:left w:val="nil"/>
              <w:bottom w:val="nil"/>
              <w:right w:val="nil"/>
            </w:tcBorders>
            <w:shd w:val="clear" w:color="auto" w:fill="auto"/>
            <w:noWrap/>
            <w:vAlign w:val="center"/>
            <w:hideMark/>
          </w:tcPr>
          <w:p w14:paraId="02053AC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AC2F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(-0.92)</w:t>
            </w:r>
          </w:p>
        </w:tc>
        <w:tc>
          <w:tcPr>
            <w:tcW w:w="0" w:type="auto"/>
            <w:tcBorders>
              <w:top w:val="nil"/>
              <w:left w:val="nil"/>
              <w:bottom w:val="nil"/>
              <w:right w:val="nil"/>
            </w:tcBorders>
            <w:shd w:val="clear" w:color="auto" w:fill="auto"/>
            <w:noWrap/>
            <w:hideMark/>
          </w:tcPr>
          <w:p w14:paraId="71B165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-0.0327</w:t>
            </w:r>
          </w:p>
        </w:tc>
        <w:tc>
          <w:tcPr>
            <w:tcW w:w="0" w:type="auto"/>
            <w:tcBorders>
              <w:top w:val="nil"/>
              <w:left w:val="nil"/>
              <w:bottom w:val="nil"/>
              <w:right w:val="nil"/>
            </w:tcBorders>
            <w:shd w:val="clear" w:color="auto" w:fill="auto"/>
            <w:noWrap/>
            <w:vAlign w:val="center"/>
            <w:hideMark/>
          </w:tcPr>
          <w:p w14:paraId="3D991E5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CB9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r>
      <w:tr w:rsidR="004A606C" w:rsidRPr="005F7C3C" w14:paraId="37CCF644" w14:textId="77777777" w:rsidTr="004A606C">
        <w:trPr>
          <w:trHeight w:val="20"/>
        </w:trPr>
        <w:tc>
          <w:tcPr>
            <w:tcW w:w="0" w:type="auto"/>
            <w:tcBorders>
              <w:top w:val="nil"/>
              <w:left w:val="nil"/>
              <w:bottom w:val="nil"/>
              <w:right w:val="nil"/>
            </w:tcBorders>
            <w:shd w:val="clear" w:color="auto" w:fill="auto"/>
            <w:noWrap/>
            <w:hideMark/>
          </w:tcPr>
          <w:p w14:paraId="2C908E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0B75A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5515F67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593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(-1.24)</w:t>
            </w:r>
          </w:p>
        </w:tc>
        <w:tc>
          <w:tcPr>
            <w:tcW w:w="0" w:type="auto"/>
            <w:tcBorders>
              <w:top w:val="nil"/>
              <w:left w:val="nil"/>
              <w:bottom w:val="nil"/>
              <w:right w:val="nil"/>
            </w:tcBorders>
            <w:shd w:val="clear" w:color="auto" w:fill="auto"/>
            <w:noWrap/>
            <w:hideMark/>
          </w:tcPr>
          <w:p w14:paraId="7718739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-0.0357</w:t>
            </w:r>
          </w:p>
        </w:tc>
        <w:tc>
          <w:tcPr>
            <w:tcW w:w="0" w:type="auto"/>
            <w:tcBorders>
              <w:top w:val="nil"/>
              <w:left w:val="nil"/>
              <w:bottom w:val="nil"/>
              <w:right w:val="nil"/>
            </w:tcBorders>
            <w:shd w:val="clear" w:color="auto" w:fill="auto"/>
            <w:noWrap/>
            <w:vAlign w:val="center"/>
            <w:hideMark/>
          </w:tcPr>
          <w:p w14:paraId="001760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DAA6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2E2E02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-0.0350</w:t>
            </w:r>
          </w:p>
        </w:tc>
        <w:tc>
          <w:tcPr>
            <w:tcW w:w="0" w:type="auto"/>
            <w:tcBorders>
              <w:top w:val="nil"/>
              <w:left w:val="nil"/>
              <w:bottom w:val="nil"/>
              <w:right w:val="nil"/>
            </w:tcBorders>
            <w:shd w:val="clear" w:color="auto" w:fill="auto"/>
            <w:noWrap/>
            <w:vAlign w:val="center"/>
            <w:hideMark/>
          </w:tcPr>
          <w:p w14:paraId="36297EB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EFF4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4095C5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4CD619D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AA2EA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(-1.23)</w:t>
            </w:r>
          </w:p>
        </w:tc>
      </w:tr>
      <w:tr w:rsidR="004A606C" w:rsidRPr="005F7C3C" w14:paraId="696B9C3D" w14:textId="77777777" w:rsidTr="004A606C">
        <w:trPr>
          <w:trHeight w:val="20"/>
        </w:trPr>
        <w:tc>
          <w:tcPr>
            <w:tcW w:w="0" w:type="auto"/>
            <w:tcBorders>
              <w:top w:val="nil"/>
              <w:left w:val="nil"/>
              <w:bottom w:val="nil"/>
              <w:right w:val="nil"/>
            </w:tcBorders>
            <w:shd w:val="clear" w:color="auto" w:fill="auto"/>
            <w:noWrap/>
            <w:hideMark/>
          </w:tcPr>
          <w:p w14:paraId="4D10659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91753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5EE01F4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1CA66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0128C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0.0068</w:t>
            </w:r>
          </w:p>
        </w:tc>
        <w:tc>
          <w:tcPr>
            <w:tcW w:w="0" w:type="auto"/>
            <w:tcBorders>
              <w:top w:val="nil"/>
              <w:left w:val="nil"/>
              <w:bottom w:val="nil"/>
              <w:right w:val="nil"/>
            </w:tcBorders>
            <w:shd w:val="clear" w:color="auto" w:fill="auto"/>
            <w:noWrap/>
            <w:vAlign w:val="center"/>
            <w:hideMark/>
          </w:tcPr>
          <w:p w14:paraId="1438A0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6BE7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55A8594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0.0091</w:t>
            </w:r>
          </w:p>
        </w:tc>
        <w:tc>
          <w:tcPr>
            <w:tcW w:w="0" w:type="auto"/>
            <w:tcBorders>
              <w:top w:val="nil"/>
              <w:left w:val="nil"/>
              <w:bottom w:val="nil"/>
              <w:right w:val="nil"/>
            </w:tcBorders>
            <w:shd w:val="clear" w:color="auto" w:fill="auto"/>
            <w:noWrap/>
            <w:vAlign w:val="center"/>
            <w:hideMark/>
          </w:tcPr>
          <w:p w14:paraId="367705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F2AB0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w:t>
            </w:r>
          </w:p>
        </w:tc>
        <w:tc>
          <w:tcPr>
            <w:tcW w:w="0" w:type="auto"/>
            <w:tcBorders>
              <w:top w:val="nil"/>
              <w:left w:val="nil"/>
              <w:bottom w:val="nil"/>
              <w:right w:val="nil"/>
            </w:tcBorders>
            <w:shd w:val="clear" w:color="auto" w:fill="auto"/>
            <w:noWrap/>
            <w:hideMark/>
          </w:tcPr>
          <w:p w14:paraId="73B4D9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7C0FB84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21E8F4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w:t>
            </w:r>
          </w:p>
        </w:tc>
      </w:tr>
      <w:tr w:rsidR="004A606C" w:rsidRPr="005F7C3C" w14:paraId="24DF4058" w14:textId="77777777" w:rsidTr="004A606C">
        <w:trPr>
          <w:trHeight w:val="20"/>
        </w:trPr>
        <w:tc>
          <w:tcPr>
            <w:tcW w:w="0" w:type="auto"/>
            <w:tcBorders>
              <w:top w:val="nil"/>
              <w:left w:val="nil"/>
              <w:bottom w:val="nil"/>
              <w:right w:val="nil"/>
            </w:tcBorders>
            <w:shd w:val="clear" w:color="auto" w:fill="auto"/>
            <w:noWrap/>
            <w:hideMark/>
          </w:tcPr>
          <w:p w14:paraId="6055BD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544A697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45BBCD1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B70E2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19A67CC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-0.0222</w:t>
            </w:r>
          </w:p>
        </w:tc>
        <w:tc>
          <w:tcPr>
            <w:tcW w:w="0" w:type="auto"/>
            <w:tcBorders>
              <w:top w:val="nil"/>
              <w:left w:val="nil"/>
              <w:bottom w:val="nil"/>
              <w:right w:val="nil"/>
            </w:tcBorders>
            <w:shd w:val="clear" w:color="auto" w:fill="auto"/>
            <w:noWrap/>
            <w:vAlign w:val="center"/>
            <w:hideMark/>
          </w:tcPr>
          <w:p w14:paraId="230DC83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2C7C6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250C281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-0.0238</w:t>
            </w:r>
          </w:p>
        </w:tc>
        <w:tc>
          <w:tcPr>
            <w:tcW w:w="0" w:type="auto"/>
            <w:tcBorders>
              <w:top w:val="nil"/>
              <w:left w:val="nil"/>
              <w:bottom w:val="nil"/>
              <w:right w:val="nil"/>
            </w:tcBorders>
            <w:shd w:val="clear" w:color="auto" w:fill="auto"/>
            <w:noWrap/>
            <w:vAlign w:val="center"/>
            <w:hideMark/>
          </w:tcPr>
          <w:p w14:paraId="5E69BFD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F2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7B46955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5DDD04C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0D00A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r>
      <w:tr w:rsidR="004A606C" w:rsidRPr="005F7C3C" w14:paraId="53BA407D" w14:textId="77777777" w:rsidTr="004A606C">
        <w:trPr>
          <w:trHeight w:val="20"/>
        </w:trPr>
        <w:tc>
          <w:tcPr>
            <w:tcW w:w="0" w:type="auto"/>
            <w:tcBorders>
              <w:top w:val="nil"/>
              <w:left w:val="nil"/>
              <w:bottom w:val="nil"/>
              <w:right w:val="nil"/>
            </w:tcBorders>
            <w:shd w:val="clear" w:color="auto" w:fill="auto"/>
            <w:noWrap/>
            <w:hideMark/>
          </w:tcPr>
          <w:p w14:paraId="23B427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515BEE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-0.1113</w:t>
            </w:r>
          </w:p>
        </w:tc>
        <w:tc>
          <w:tcPr>
            <w:tcW w:w="0" w:type="auto"/>
            <w:tcBorders>
              <w:top w:val="nil"/>
              <w:left w:val="nil"/>
              <w:bottom w:val="nil"/>
              <w:right w:val="nil"/>
            </w:tcBorders>
            <w:shd w:val="clear" w:color="auto" w:fill="auto"/>
            <w:noWrap/>
            <w:vAlign w:val="center"/>
            <w:hideMark/>
          </w:tcPr>
          <w:p w14:paraId="4ECA59C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E2E43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c>
          <w:tcPr>
            <w:tcW w:w="0" w:type="auto"/>
            <w:tcBorders>
              <w:top w:val="nil"/>
              <w:left w:val="nil"/>
              <w:bottom w:val="nil"/>
              <w:right w:val="nil"/>
            </w:tcBorders>
            <w:shd w:val="clear" w:color="auto" w:fill="auto"/>
            <w:noWrap/>
            <w:hideMark/>
          </w:tcPr>
          <w:p w14:paraId="7259B8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-0.1118</w:t>
            </w:r>
          </w:p>
        </w:tc>
        <w:tc>
          <w:tcPr>
            <w:tcW w:w="0" w:type="auto"/>
            <w:tcBorders>
              <w:top w:val="nil"/>
              <w:left w:val="nil"/>
              <w:bottom w:val="nil"/>
              <w:right w:val="nil"/>
            </w:tcBorders>
            <w:shd w:val="clear" w:color="auto" w:fill="auto"/>
            <w:noWrap/>
            <w:vAlign w:val="center"/>
            <w:hideMark/>
          </w:tcPr>
          <w:p w14:paraId="7718E0C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73E31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48DB0C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-0.1081</w:t>
            </w:r>
          </w:p>
        </w:tc>
        <w:tc>
          <w:tcPr>
            <w:tcW w:w="0" w:type="auto"/>
            <w:tcBorders>
              <w:top w:val="nil"/>
              <w:left w:val="nil"/>
              <w:bottom w:val="nil"/>
              <w:right w:val="nil"/>
            </w:tcBorders>
            <w:shd w:val="clear" w:color="auto" w:fill="auto"/>
            <w:noWrap/>
            <w:vAlign w:val="center"/>
            <w:hideMark/>
          </w:tcPr>
          <w:p w14:paraId="168D615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DCC3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(-2.72)</w:t>
            </w:r>
          </w:p>
        </w:tc>
        <w:tc>
          <w:tcPr>
            <w:tcW w:w="0" w:type="auto"/>
            <w:tcBorders>
              <w:top w:val="nil"/>
              <w:left w:val="nil"/>
              <w:bottom w:val="nil"/>
              <w:right w:val="nil"/>
            </w:tcBorders>
            <w:shd w:val="clear" w:color="auto" w:fill="auto"/>
            <w:noWrap/>
            <w:hideMark/>
          </w:tcPr>
          <w:p w14:paraId="58332E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-0.1112</w:t>
            </w:r>
          </w:p>
        </w:tc>
        <w:tc>
          <w:tcPr>
            <w:tcW w:w="0" w:type="auto"/>
            <w:tcBorders>
              <w:top w:val="nil"/>
              <w:left w:val="nil"/>
              <w:bottom w:val="nil"/>
              <w:right w:val="nil"/>
            </w:tcBorders>
            <w:shd w:val="clear" w:color="auto" w:fill="auto"/>
            <w:noWrap/>
            <w:vAlign w:val="center"/>
            <w:hideMark/>
          </w:tcPr>
          <w:p w14:paraId="3E89C71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A8C5D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r>
      <w:tr w:rsidR="004A606C" w:rsidRPr="005F7C3C" w14:paraId="4BCE97D2" w14:textId="77777777" w:rsidTr="004A606C">
        <w:trPr>
          <w:trHeight w:val="20"/>
        </w:trPr>
        <w:tc>
          <w:tcPr>
            <w:tcW w:w="0" w:type="auto"/>
            <w:tcBorders>
              <w:top w:val="nil"/>
              <w:left w:val="nil"/>
              <w:bottom w:val="nil"/>
              <w:right w:val="nil"/>
            </w:tcBorders>
            <w:shd w:val="clear" w:color="auto" w:fill="auto"/>
            <w:noWrap/>
            <w:hideMark/>
          </w:tcPr>
          <w:p w14:paraId="2B48D986"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24CDA28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0.0615</w:t>
            </w:r>
          </w:p>
        </w:tc>
        <w:tc>
          <w:tcPr>
            <w:tcW w:w="0" w:type="auto"/>
            <w:tcBorders>
              <w:top w:val="nil"/>
              <w:left w:val="nil"/>
              <w:bottom w:val="nil"/>
              <w:right w:val="nil"/>
            </w:tcBorders>
            <w:shd w:val="clear" w:color="auto" w:fill="auto"/>
            <w:noWrap/>
            <w:vAlign w:val="center"/>
            <w:hideMark/>
          </w:tcPr>
          <w:p w14:paraId="7FE1CFE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4F141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c>
          <w:tcPr>
            <w:tcW w:w="0" w:type="auto"/>
            <w:tcBorders>
              <w:top w:val="nil"/>
              <w:left w:val="nil"/>
              <w:bottom w:val="nil"/>
              <w:right w:val="nil"/>
            </w:tcBorders>
            <w:shd w:val="clear" w:color="auto" w:fill="auto"/>
            <w:noWrap/>
            <w:hideMark/>
          </w:tcPr>
          <w:p w14:paraId="06671C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0.0605</w:t>
            </w:r>
          </w:p>
        </w:tc>
        <w:tc>
          <w:tcPr>
            <w:tcW w:w="0" w:type="auto"/>
            <w:tcBorders>
              <w:top w:val="nil"/>
              <w:left w:val="nil"/>
              <w:bottom w:val="nil"/>
              <w:right w:val="nil"/>
            </w:tcBorders>
            <w:shd w:val="clear" w:color="auto" w:fill="auto"/>
            <w:noWrap/>
            <w:vAlign w:val="center"/>
            <w:hideMark/>
          </w:tcPr>
          <w:p w14:paraId="3CAC26C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590E3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(1.91)</w:t>
            </w:r>
          </w:p>
        </w:tc>
        <w:tc>
          <w:tcPr>
            <w:tcW w:w="0" w:type="auto"/>
            <w:tcBorders>
              <w:top w:val="nil"/>
              <w:left w:val="nil"/>
              <w:bottom w:val="nil"/>
              <w:right w:val="nil"/>
            </w:tcBorders>
            <w:shd w:val="clear" w:color="auto" w:fill="auto"/>
            <w:noWrap/>
            <w:hideMark/>
          </w:tcPr>
          <w:p w14:paraId="7A823C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0.0630</w:t>
            </w:r>
          </w:p>
        </w:tc>
        <w:tc>
          <w:tcPr>
            <w:tcW w:w="0" w:type="auto"/>
            <w:tcBorders>
              <w:top w:val="nil"/>
              <w:left w:val="nil"/>
              <w:bottom w:val="nil"/>
              <w:right w:val="nil"/>
            </w:tcBorders>
            <w:shd w:val="clear" w:color="auto" w:fill="auto"/>
            <w:noWrap/>
            <w:vAlign w:val="center"/>
            <w:hideMark/>
          </w:tcPr>
          <w:p w14:paraId="7156E38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633F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(1.99)</w:t>
            </w:r>
          </w:p>
        </w:tc>
        <w:tc>
          <w:tcPr>
            <w:tcW w:w="0" w:type="auto"/>
            <w:tcBorders>
              <w:top w:val="nil"/>
              <w:left w:val="nil"/>
              <w:bottom w:val="nil"/>
              <w:right w:val="nil"/>
            </w:tcBorders>
            <w:shd w:val="clear" w:color="auto" w:fill="auto"/>
            <w:noWrap/>
            <w:hideMark/>
          </w:tcPr>
          <w:p w14:paraId="5374F3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0.0616</w:t>
            </w:r>
          </w:p>
        </w:tc>
        <w:tc>
          <w:tcPr>
            <w:tcW w:w="0" w:type="auto"/>
            <w:tcBorders>
              <w:top w:val="nil"/>
              <w:left w:val="nil"/>
              <w:bottom w:val="nil"/>
              <w:right w:val="nil"/>
            </w:tcBorders>
            <w:shd w:val="clear" w:color="auto" w:fill="auto"/>
            <w:noWrap/>
            <w:vAlign w:val="center"/>
            <w:hideMark/>
          </w:tcPr>
          <w:p w14:paraId="48AFB75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1A80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r>
      <w:tr w:rsidR="004A606C" w:rsidRPr="005F7C3C" w14:paraId="0AA34038" w14:textId="77777777" w:rsidTr="004A606C">
        <w:trPr>
          <w:trHeight w:val="20"/>
        </w:trPr>
        <w:tc>
          <w:tcPr>
            <w:tcW w:w="0" w:type="auto"/>
            <w:tcBorders>
              <w:top w:val="nil"/>
              <w:left w:val="nil"/>
              <w:bottom w:val="nil"/>
              <w:right w:val="nil"/>
            </w:tcBorders>
            <w:shd w:val="clear" w:color="auto" w:fill="auto"/>
            <w:noWrap/>
            <w:hideMark/>
          </w:tcPr>
          <w:p w14:paraId="4FA31E97"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3FD975C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-0.1051</w:t>
            </w:r>
          </w:p>
        </w:tc>
        <w:tc>
          <w:tcPr>
            <w:tcW w:w="0" w:type="auto"/>
            <w:tcBorders>
              <w:top w:val="nil"/>
              <w:left w:val="nil"/>
              <w:bottom w:val="nil"/>
              <w:right w:val="nil"/>
            </w:tcBorders>
            <w:shd w:val="clear" w:color="auto" w:fill="auto"/>
            <w:noWrap/>
            <w:vAlign w:val="center"/>
            <w:hideMark/>
          </w:tcPr>
          <w:p w14:paraId="14871A0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DFD1DE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(-3.34)</w:t>
            </w:r>
          </w:p>
        </w:tc>
        <w:tc>
          <w:tcPr>
            <w:tcW w:w="0" w:type="auto"/>
            <w:tcBorders>
              <w:top w:val="nil"/>
              <w:left w:val="nil"/>
              <w:bottom w:val="nil"/>
              <w:right w:val="nil"/>
            </w:tcBorders>
            <w:shd w:val="clear" w:color="auto" w:fill="auto"/>
            <w:noWrap/>
            <w:hideMark/>
          </w:tcPr>
          <w:p w14:paraId="127138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-0.1046</w:t>
            </w:r>
          </w:p>
        </w:tc>
        <w:tc>
          <w:tcPr>
            <w:tcW w:w="0" w:type="auto"/>
            <w:tcBorders>
              <w:top w:val="nil"/>
              <w:left w:val="nil"/>
              <w:bottom w:val="nil"/>
              <w:right w:val="nil"/>
            </w:tcBorders>
            <w:shd w:val="clear" w:color="auto" w:fill="auto"/>
            <w:noWrap/>
            <w:vAlign w:val="center"/>
            <w:hideMark/>
          </w:tcPr>
          <w:p w14:paraId="1C8044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D8A2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(-3.32)</w:t>
            </w:r>
          </w:p>
        </w:tc>
        <w:tc>
          <w:tcPr>
            <w:tcW w:w="0" w:type="auto"/>
            <w:tcBorders>
              <w:top w:val="nil"/>
              <w:left w:val="nil"/>
              <w:bottom w:val="nil"/>
              <w:right w:val="nil"/>
            </w:tcBorders>
            <w:shd w:val="clear" w:color="auto" w:fill="auto"/>
            <w:noWrap/>
            <w:hideMark/>
          </w:tcPr>
          <w:p w14:paraId="34DF050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-0.1030</w:t>
            </w:r>
          </w:p>
        </w:tc>
        <w:tc>
          <w:tcPr>
            <w:tcW w:w="0" w:type="auto"/>
            <w:tcBorders>
              <w:top w:val="nil"/>
              <w:left w:val="nil"/>
              <w:bottom w:val="nil"/>
              <w:right w:val="nil"/>
            </w:tcBorders>
            <w:shd w:val="clear" w:color="auto" w:fill="auto"/>
            <w:noWrap/>
            <w:vAlign w:val="center"/>
            <w:hideMark/>
          </w:tcPr>
          <w:p w14:paraId="6AD0D98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6C14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(-3.27)</w:t>
            </w:r>
          </w:p>
        </w:tc>
        <w:tc>
          <w:tcPr>
            <w:tcW w:w="0" w:type="auto"/>
            <w:tcBorders>
              <w:top w:val="nil"/>
              <w:left w:val="nil"/>
              <w:bottom w:val="nil"/>
              <w:right w:val="nil"/>
            </w:tcBorders>
            <w:shd w:val="clear" w:color="auto" w:fill="auto"/>
            <w:noWrap/>
            <w:hideMark/>
          </w:tcPr>
          <w:p w14:paraId="74A281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-0.1052</w:t>
            </w:r>
          </w:p>
        </w:tc>
        <w:tc>
          <w:tcPr>
            <w:tcW w:w="0" w:type="auto"/>
            <w:tcBorders>
              <w:top w:val="nil"/>
              <w:left w:val="nil"/>
              <w:bottom w:val="nil"/>
              <w:right w:val="nil"/>
            </w:tcBorders>
            <w:shd w:val="clear" w:color="auto" w:fill="auto"/>
            <w:noWrap/>
            <w:vAlign w:val="center"/>
            <w:hideMark/>
          </w:tcPr>
          <w:p w14:paraId="193FFCB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CEE7E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(-3.35)</w:t>
            </w:r>
          </w:p>
        </w:tc>
      </w:tr>
      <w:tr w:rsidR="004A606C" w:rsidRPr="005F7C3C" w14:paraId="6C3F1BDE" w14:textId="77777777" w:rsidTr="004A606C">
        <w:trPr>
          <w:trHeight w:val="20"/>
        </w:trPr>
        <w:tc>
          <w:tcPr>
            <w:tcW w:w="0" w:type="auto"/>
            <w:tcBorders>
              <w:top w:val="nil"/>
              <w:left w:val="nil"/>
              <w:bottom w:val="nil"/>
              <w:right w:val="nil"/>
            </w:tcBorders>
            <w:shd w:val="clear" w:color="auto" w:fill="auto"/>
            <w:noWrap/>
            <w:hideMark/>
          </w:tcPr>
          <w:p w14:paraId="33E359C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33F7A1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-0.0303</w:t>
            </w:r>
          </w:p>
        </w:tc>
        <w:tc>
          <w:tcPr>
            <w:tcW w:w="0" w:type="auto"/>
            <w:tcBorders>
              <w:top w:val="nil"/>
              <w:left w:val="nil"/>
              <w:bottom w:val="nil"/>
              <w:right w:val="nil"/>
            </w:tcBorders>
            <w:shd w:val="clear" w:color="auto" w:fill="auto"/>
            <w:noWrap/>
            <w:vAlign w:val="center"/>
            <w:hideMark/>
          </w:tcPr>
          <w:p w14:paraId="3DFF4B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1027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34DA5EB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-0.0288</w:t>
            </w:r>
          </w:p>
        </w:tc>
        <w:tc>
          <w:tcPr>
            <w:tcW w:w="0" w:type="auto"/>
            <w:tcBorders>
              <w:top w:val="nil"/>
              <w:left w:val="nil"/>
              <w:bottom w:val="nil"/>
              <w:right w:val="nil"/>
            </w:tcBorders>
            <w:shd w:val="clear" w:color="auto" w:fill="auto"/>
            <w:noWrap/>
            <w:vAlign w:val="center"/>
            <w:hideMark/>
          </w:tcPr>
          <w:p w14:paraId="387145F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96BFC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(-0.86)</w:t>
            </w:r>
          </w:p>
        </w:tc>
        <w:tc>
          <w:tcPr>
            <w:tcW w:w="0" w:type="auto"/>
            <w:tcBorders>
              <w:top w:val="nil"/>
              <w:left w:val="nil"/>
              <w:bottom w:val="nil"/>
              <w:right w:val="nil"/>
            </w:tcBorders>
            <w:shd w:val="clear" w:color="auto" w:fill="auto"/>
            <w:noWrap/>
            <w:hideMark/>
          </w:tcPr>
          <w:p w14:paraId="6E47BF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-0.0314</w:t>
            </w:r>
          </w:p>
        </w:tc>
        <w:tc>
          <w:tcPr>
            <w:tcW w:w="0" w:type="auto"/>
            <w:tcBorders>
              <w:top w:val="nil"/>
              <w:left w:val="nil"/>
              <w:bottom w:val="nil"/>
              <w:right w:val="nil"/>
            </w:tcBorders>
            <w:shd w:val="clear" w:color="auto" w:fill="auto"/>
            <w:noWrap/>
            <w:vAlign w:val="center"/>
            <w:hideMark/>
          </w:tcPr>
          <w:p w14:paraId="518F86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236A6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(-0.94)</w:t>
            </w:r>
          </w:p>
        </w:tc>
        <w:tc>
          <w:tcPr>
            <w:tcW w:w="0" w:type="auto"/>
            <w:tcBorders>
              <w:top w:val="nil"/>
              <w:left w:val="nil"/>
              <w:bottom w:val="nil"/>
              <w:right w:val="nil"/>
            </w:tcBorders>
            <w:shd w:val="clear" w:color="auto" w:fill="auto"/>
            <w:noWrap/>
            <w:hideMark/>
          </w:tcPr>
          <w:p w14:paraId="0BB563C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48C1C73F"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5A2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r>
      <w:tr w:rsidR="004A606C" w:rsidRPr="005F7C3C" w14:paraId="7F9D3185" w14:textId="77777777" w:rsidTr="004A606C">
        <w:trPr>
          <w:trHeight w:val="20"/>
        </w:trPr>
        <w:tc>
          <w:tcPr>
            <w:tcW w:w="0" w:type="auto"/>
            <w:tcBorders>
              <w:top w:val="nil"/>
              <w:left w:val="nil"/>
              <w:bottom w:val="nil"/>
              <w:right w:val="nil"/>
            </w:tcBorders>
            <w:shd w:val="clear" w:color="auto" w:fill="auto"/>
            <w:noWrap/>
            <w:hideMark/>
          </w:tcPr>
          <w:p w14:paraId="4C1CFCF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0F22AB7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-0.7639</w:t>
            </w:r>
          </w:p>
        </w:tc>
        <w:tc>
          <w:tcPr>
            <w:tcW w:w="0" w:type="auto"/>
            <w:tcBorders>
              <w:top w:val="nil"/>
              <w:left w:val="nil"/>
              <w:bottom w:val="nil"/>
              <w:right w:val="nil"/>
            </w:tcBorders>
            <w:shd w:val="clear" w:color="auto" w:fill="auto"/>
            <w:noWrap/>
            <w:vAlign w:val="center"/>
            <w:hideMark/>
          </w:tcPr>
          <w:p w14:paraId="4018AC21"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D9034C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4642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-0.7636</w:t>
            </w:r>
          </w:p>
        </w:tc>
        <w:tc>
          <w:tcPr>
            <w:tcW w:w="0" w:type="auto"/>
            <w:tcBorders>
              <w:top w:val="nil"/>
              <w:left w:val="nil"/>
              <w:bottom w:val="nil"/>
              <w:right w:val="nil"/>
            </w:tcBorders>
            <w:shd w:val="clear" w:color="auto" w:fill="auto"/>
            <w:noWrap/>
            <w:vAlign w:val="center"/>
            <w:hideMark/>
          </w:tcPr>
          <w:p w14:paraId="5273661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0AF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F26EE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-0.7658</w:t>
            </w:r>
          </w:p>
        </w:tc>
        <w:tc>
          <w:tcPr>
            <w:tcW w:w="0" w:type="auto"/>
            <w:tcBorders>
              <w:top w:val="nil"/>
              <w:left w:val="nil"/>
              <w:bottom w:val="nil"/>
              <w:right w:val="nil"/>
            </w:tcBorders>
            <w:shd w:val="clear" w:color="auto" w:fill="auto"/>
            <w:noWrap/>
            <w:vAlign w:val="center"/>
            <w:hideMark/>
          </w:tcPr>
          <w:p w14:paraId="1F962B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F1FF4F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6806A29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-0.7640</w:t>
            </w:r>
          </w:p>
        </w:tc>
        <w:tc>
          <w:tcPr>
            <w:tcW w:w="0" w:type="auto"/>
            <w:tcBorders>
              <w:top w:val="nil"/>
              <w:left w:val="nil"/>
              <w:bottom w:val="nil"/>
              <w:right w:val="nil"/>
            </w:tcBorders>
            <w:shd w:val="clear" w:color="auto" w:fill="auto"/>
            <w:noWrap/>
            <w:vAlign w:val="center"/>
            <w:hideMark/>
          </w:tcPr>
          <w:p w14:paraId="61977CE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B9F76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r>
      <w:tr w:rsidR="004A606C" w:rsidRPr="005F7C3C" w14:paraId="0D2D68FE" w14:textId="77777777" w:rsidTr="004A606C">
        <w:trPr>
          <w:trHeight w:val="20"/>
        </w:trPr>
        <w:tc>
          <w:tcPr>
            <w:tcW w:w="0" w:type="auto"/>
            <w:tcBorders>
              <w:top w:val="nil"/>
              <w:left w:val="nil"/>
              <w:bottom w:val="nil"/>
              <w:right w:val="nil"/>
            </w:tcBorders>
            <w:shd w:val="clear" w:color="auto" w:fill="auto"/>
            <w:noWrap/>
            <w:hideMark/>
          </w:tcPr>
          <w:p w14:paraId="4C81AB1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258E2B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-0.0468</w:t>
            </w:r>
          </w:p>
        </w:tc>
        <w:tc>
          <w:tcPr>
            <w:tcW w:w="0" w:type="auto"/>
            <w:tcBorders>
              <w:top w:val="nil"/>
              <w:left w:val="nil"/>
              <w:bottom w:val="nil"/>
              <w:right w:val="nil"/>
            </w:tcBorders>
            <w:shd w:val="clear" w:color="auto" w:fill="auto"/>
            <w:noWrap/>
            <w:vAlign w:val="center"/>
            <w:hideMark/>
          </w:tcPr>
          <w:p w14:paraId="5A20633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78C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4838AB7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4116FEA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A3306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0289AC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-0.0457</w:t>
            </w:r>
          </w:p>
        </w:tc>
        <w:tc>
          <w:tcPr>
            <w:tcW w:w="0" w:type="auto"/>
            <w:tcBorders>
              <w:top w:val="nil"/>
              <w:left w:val="nil"/>
              <w:bottom w:val="nil"/>
              <w:right w:val="nil"/>
            </w:tcBorders>
            <w:shd w:val="clear" w:color="auto" w:fill="auto"/>
            <w:noWrap/>
            <w:vAlign w:val="center"/>
            <w:hideMark/>
          </w:tcPr>
          <w:p w14:paraId="769E55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3CF08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(-1.64)</w:t>
            </w:r>
          </w:p>
        </w:tc>
        <w:tc>
          <w:tcPr>
            <w:tcW w:w="0" w:type="auto"/>
            <w:tcBorders>
              <w:top w:val="nil"/>
              <w:left w:val="nil"/>
              <w:bottom w:val="nil"/>
              <w:right w:val="nil"/>
            </w:tcBorders>
            <w:shd w:val="clear" w:color="auto" w:fill="auto"/>
            <w:noWrap/>
            <w:hideMark/>
          </w:tcPr>
          <w:p w14:paraId="43E3660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05CEA46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385557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r>
      <w:tr w:rsidR="004A606C" w:rsidRPr="005F7C3C" w14:paraId="2F6EF614" w14:textId="77777777" w:rsidTr="004A606C">
        <w:trPr>
          <w:trHeight w:val="20"/>
        </w:trPr>
        <w:tc>
          <w:tcPr>
            <w:tcW w:w="0" w:type="auto"/>
            <w:tcBorders>
              <w:top w:val="nil"/>
              <w:left w:val="nil"/>
              <w:bottom w:val="nil"/>
              <w:right w:val="nil"/>
            </w:tcBorders>
            <w:shd w:val="clear" w:color="auto" w:fill="auto"/>
            <w:noWrap/>
            <w:vAlign w:val="center"/>
            <w:hideMark/>
          </w:tcPr>
          <w:p w14:paraId="22217DD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79E46E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-0.0268</w:t>
            </w:r>
          </w:p>
        </w:tc>
        <w:tc>
          <w:tcPr>
            <w:tcW w:w="0" w:type="auto"/>
            <w:tcBorders>
              <w:top w:val="nil"/>
              <w:left w:val="nil"/>
              <w:bottom w:val="nil"/>
              <w:right w:val="nil"/>
            </w:tcBorders>
            <w:shd w:val="clear" w:color="auto" w:fill="auto"/>
            <w:noWrap/>
            <w:vAlign w:val="center"/>
            <w:hideMark/>
          </w:tcPr>
          <w:p w14:paraId="4B6F16F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D0B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04180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-0.0261</w:t>
            </w:r>
          </w:p>
        </w:tc>
        <w:tc>
          <w:tcPr>
            <w:tcW w:w="0" w:type="auto"/>
            <w:tcBorders>
              <w:top w:val="nil"/>
              <w:left w:val="nil"/>
              <w:bottom w:val="nil"/>
              <w:right w:val="nil"/>
            </w:tcBorders>
            <w:shd w:val="clear" w:color="auto" w:fill="auto"/>
            <w:noWrap/>
            <w:vAlign w:val="center"/>
            <w:hideMark/>
          </w:tcPr>
          <w:p w14:paraId="2985233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A421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(-1.07)</w:t>
            </w:r>
          </w:p>
        </w:tc>
        <w:tc>
          <w:tcPr>
            <w:tcW w:w="0" w:type="auto"/>
            <w:tcBorders>
              <w:top w:val="nil"/>
              <w:left w:val="nil"/>
              <w:bottom w:val="nil"/>
              <w:right w:val="nil"/>
            </w:tcBorders>
            <w:shd w:val="clear" w:color="auto" w:fill="auto"/>
            <w:noWrap/>
            <w:hideMark/>
          </w:tcPr>
          <w:p w14:paraId="7A9AEB9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-0.0252</w:t>
            </w:r>
          </w:p>
        </w:tc>
        <w:tc>
          <w:tcPr>
            <w:tcW w:w="0" w:type="auto"/>
            <w:tcBorders>
              <w:top w:val="nil"/>
              <w:left w:val="nil"/>
              <w:bottom w:val="nil"/>
              <w:right w:val="nil"/>
            </w:tcBorders>
            <w:shd w:val="clear" w:color="auto" w:fill="auto"/>
            <w:noWrap/>
            <w:vAlign w:val="center"/>
            <w:hideMark/>
          </w:tcPr>
          <w:p w14:paraId="244D952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604FD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CE3AD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-0.0269</w:t>
            </w:r>
          </w:p>
        </w:tc>
        <w:tc>
          <w:tcPr>
            <w:tcW w:w="0" w:type="auto"/>
            <w:tcBorders>
              <w:top w:val="nil"/>
              <w:left w:val="nil"/>
              <w:bottom w:val="nil"/>
              <w:right w:val="nil"/>
            </w:tcBorders>
            <w:shd w:val="clear" w:color="auto" w:fill="auto"/>
            <w:noWrap/>
            <w:vAlign w:val="center"/>
            <w:hideMark/>
          </w:tcPr>
          <w:p w14:paraId="0594D14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2DDC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r>
      <w:tr w:rsidR="004A606C" w:rsidRPr="005F7C3C" w14:paraId="6027920C" w14:textId="77777777" w:rsidTr="004A606C">
        <w:trPr>
          <w:trHeight w:val="20"/>
        </w:trPr>
        <w:tc>
          <w:tcPr>
            <w:tcW w:w="0" w:type="auto"/>
            <w:tcBorders>
              <w:top w:val="nil"/>
              <w:left w:val="nil"/>
              <w:bottom w:val="nil"/>
              <w:right w:val="nil"/>
            </w:tcBorders>
            <w:shd w:val="clear" w:color="auto" w:fill="auto"/>
            <w:noWrap/>
            <w:vAlign w:val="center"/>
            <w:hideMark/>
          </w:tcPr>
          <w:p w14:paraId="4EE32FF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CB4C4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DED747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99A4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c>
          <w:tcPr>
            <w:tcW w:w="0" w:type="auto"/>
            <w:tcBorders>
              <w:top w:val="nil"/>
              <w:left w:val="nil"/>
              <w:bottom w:val="nil"/>
              <w:right w:val="nil"/>
            </w:tcBorders>
            <w:shd w:val="clear" w:color="auto" w:fill="auto"/>
            <w:noWrap/>
            <w:hideMark/>
          </w:tcPr>
          <w:p w14:paraId="7635FC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1021CCA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B5A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03886A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236BDD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16343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w:t>
            </w:r>
          </w:p>
        </w:tc>
        <w:tc>
          <w:tcPr>
            <w:tcW w:w="0" w:type="auto"/>
            <w:tcBorders>
              <w:top w:val="nil"/>
              <w:left w:val="nil"/>
              <w:bottom w:val="nil"/>
              <w:right w:val="nil"/>
            </w:tcBorders>
            <w:shd w:val="clear" w:color="auto" w:fill="auto"/>
            <w:noWrap/>
            <w:hideMark/>
          </w:tcPr>
          <w:p w14:paraId="7ADDAF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25A43CB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8B91A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r>
      <w:tr w:rsidR="004A606C" w:rsidRPr="005F7C3C" w14:paraId="58B8173C" w14:textId="77777777" w:rsidTr="004A606C">
        <w:trPr>
          <w:trHeight w:val="20"/>
        </w:trPr>
        <w:tc>
          <w:tcPr>
            <w:tcW w:w="0" w:type="auto"/>
            <w:tcBorders>
              <w:top w:val="nil"/>
              <w:left w:val="nil"/>
              <w:bottom w:val="nil"/>
              <w:right w:val="nil"/>
            </w:tcBorders>
            <w:shd w:val="clear" w:color="auto" w:fill="auto"/>
            <w:noWrap/>
            <w:vAlign w:val="center"/>
            <w:hideMark/>
          </w:tcPr>
          <w:p w14:paraId="691AAF9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3FCF67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-0.0027</w:t>
            </w:r>
          </w:p>
        </w:tc>
        <w:tc>
          <w:tcPr>
            <w:tcW w:w="0" w:type="auto"/>
            <w:tcBorders>
              <w:top w:val="nil"/>
              <w:left w:val="nil"/>
              <w:bottom w:val="nil"/>
              <w:right w:val="nil"/>
            </w:tcBorders>
            <w:shd w:val="clear" w:color="auto" w:fill="auto"/>
            <w:noWrap/>
            <w:vAlign w:val="center"/>
            <w:hideMark/>
          </w:tcPr>
          <w:p w14:paraId="12B83C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0102F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w:t>
            </w:r>
          </w:p>
        </w:tc>
        <w:tc>
          <w:tcPr>
            <w:tcW w:w="0" w:type="auto"/>
            <w:tcBorders>
              <w:top w:val="nil"/>
              <w:left w:val="nil"/>
              <w:bottom w:val="nil"/>
              <w:right w:val="nil"/>
            </w:tcBorders>
            <w:shd w:val="clear" w:color="auto" w:fill="auto"/>
            <w:noWrap/>
            <w:hideMark/>
          </w:tcPr>
          <w:p w14:paraId="5EDBF26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36EE70F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0ABF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2182F7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8526E1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5741C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(-0.05)</w:t>
            </w:r>
          </w:p>
        </w:tc>
        <w:tc>
          <w:tcPr>
            <w:tcW w:w="0" w:type="auto"/>
            <w:tcBorders>
              <w:top w:val="nil"/>
              <w:left w:val="nil"/>
              <w:bottom w:val="nil"/>
              <w:right w:val="nil"/>
            </w:tcBorders>
            <w:shd w:val="clear" w:color="auto" w:fill="auto"/>
            <w:noWrap/>
            <w:hideMark/>
          </w:tcPr>
          <w:p w14:paraId="27833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6EF0592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9A3A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(-0.09)</w:t>
            </w:r>
          </w:p>
        </w:tc>
      </w:tr>
      <w:tr w:rsidR="004A606C" w:rsidRPr="005F7C3C" w14:paraId="69C8F454" w14:textId="77777777" w:rsidTr="004A606C">
        <w:trPr>
          <w:trHeight w:val="20"/>
        </w:trPr>
        <w:tc>
          <w:tcPr>
            <w:tcW w:w="0" w:type="auto"/>
            <w:tcBorders>
              <w:top w:val="nil"/>
              <w:left w:val="nil"/>
              <w:bottom w:val="nil"/>
              <w:right w:val="nil"/>
            </w:tcBorders>
            <w:shd w:val="clear" w:color="auto" w:fill="auto"/>
            <w:noWrap/>
            <w:vAlign w:val="center"/>
            <w:hideMark/>
          </w:tcPr>
          <w:p w14:paraId="29604F0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EC4D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0.0059</w:t>
            </w:r>
          </w:p>
        </w:tc>
        <w:tc>
          <w:tcPr>
            <w:tcW w:w="0" w:type="auto"/>
            <w:tcBorders>
              <w:top w:val="nil"/>
              <w:left w:val="nil"/>
              <w:bottom w:val="nil"/>
              <w:right w:val="nil"/>
            </w:tcBorders>
            <w:shd w:val="clear" w:color="auto" w:fill="auto"/>
            <w:noWrap/>
            <w:vAlign w:val="center"/>
            <w:hideMark/>
          </w:tcPr>
          <w:p w14:paraId="109A6A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F14DA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(0.12)</w:t>
            </w:r>
          </w:p>
        </w:tc>
        <w:tc>
          <w:tcPr>
            <w:tcW w:w="0" w:type="auto"/>
            <w:tcBorders>
              <w:top w:val="nil"/>
              <w:left w:val="nil"/>
              <w:bottom w:val="nil"/>
              <w:right w:val="nil"/>
            </w:tcBorders>
            <w:shd w:val="clear" w:color="auto" w:fill="auto"/>
            <w:noWrap/>
            <w:hideMark/>
          </w:tcPr>
          <w:p w14:paraId="5A3C139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4DC9977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C3E4B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(0.17)</w:t>
            </w:r>
          </w:p>
        </w:tc>
        <w:tc>
          <w:tcPr>
            <w:tcW w:w="0" w:type="auto"/>
            <w:tcBorders>
              <w:top w:val="nil"/>
              <w:left w:val="nil"/>
              <w:bottom w:val="nil"/>
              <w:right w:val="nil"/>
            </w:tcBorders>
            <w:shd w:val="clear" w:color="auto" w:fill="auto"/>
            <w:noWrap/>
            <w:hideMark/>
          </w:tcPr>
          <w:p w14:paraId="7B29A3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07775A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D08E9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c>
          <w:tcPr>
            <w:tcW w:w="0" w:type="auto"/>
            <w:tcBorders>
              <w:top w:val="nil"/>
              <w:left w:val="nil"/>
              <w:bottom w:val="nil"/>
              <w:right w:val="nil"/>
            </w:tcBorders>
            <w:shd w:val="clear" w:color="auto" w:fill="auto"/>
            <w:noWrap/>
            <w:hideMark/>
          </w:tcPr>
          <w:p w14:paraId="43FB4D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1AE304F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12F8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r>
      <w:tr w:rsidR="004A606C" w:rsidRPr="005F7C3C" w14:paraId="067A385F" w14:textId="77777777" w:rsidTr="004A606C">
        <w:trPr>
          <w:trHeight w:val="20"/>
        </w:trPr>
        <w:tc>
          <w:tcPr>
            <w:tcW w:w="0" w:type="auto"/>
            <w:tcBorders>
              <w:top w:val="nil"/>
              <w:left w:val="nil"/>
              <w:bottom w:val="nil"/>
              <w:right w:val="nil"/>
            </w:tcBorders>
            <w:shd w:val="clear" w:color="auto" w:fill="auto"/>
            <w:noWrap/>
            <w:hideMark/>
          </w:tcPr>
          <w:p w14:paraId="5D5233C0"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359822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-0.0845</w:t>
            </w:r>
          </w:p>
        </w:tc>
        <w:tc>
          <w:tcPr>
            <w:tcW w:w="0" w:type="auto"/>
            <w:tcBorders>
              <w:top w:val="nil"/>
              <w:left w:val="nil"/>
              <w:bottom w:val="nil"/>
              <w:right w:val="nil"/>
            </w:tcBorders>
            <w:shd w:val="clear" w:color="auto" w:fill="auto"/>
            <w:noWrap/>
            <w:vAlign w:val="center"/>
            <w:hideMark/>
          </w:tcPr>
          <w:p w14:paraId="2872078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96FE5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0A809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-0.0850</w:t>
            </w:r>
          </w:p>
        </w:tc>
        <w:tc>
          <w:tcPr>
            <w:tcW w:w="0" w:type="auto"/>
            <w:tcBorders>
              <w:top w:val="nil"/>
              <w:left w:val="nil"/>
              <w:bottom w:val="nil"/>
              <w:right w:val="nil"/>
            </w:tcBorders>
            <w:shd w:val="clear" w:color="auto" w:fill="auto"/>
            <w:noWrap/>
            <w:vAlign w:val="center"/>
            <w:hideMark/>
          </w:tcPr>
          <w:p w14:paraId="7985230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9E75E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11ED49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-0.0834</w:t>
            </w:r>
          </w:p>
        </w:tc>
        <w:tc>
          <w:tcPr>
            <w:tcW w:w="0" w:type="auto"/>
            <w:tcBorders>
              <w:top w:val="nil"/>
              <w:left w:val="nil"/>
              <w:bottom w:val="nil"/>
              <w:right w:val="nil"/>
            </w:tcBorders>
            <w:shd w:val="clear" w:color="auto" w:fill="auto"/>
            <w:noWrap/>
            <w:vAlign w:val="center"/>
            <w:hideMark/>
          </w:tcPr>
          <w:p w14:paraId="46CEC0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C3B26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(-2.94)</w:t>
            </w:r>
          </w:p>
        </w:tc>
        <w:tc>
          <w:tcPr>
            <w:tcW w:w="0" w:type="auto"/>
            <w:tcBorders>
              <w:top w:val="nil"/>
              <w:left w:val="nil"/>
              <w:bottom w:val="nil"/>
              <w:right w:val="nil"/>
            </w:tcBorders>
            <w:shd w:val="clear" w:color="auto" w:fill="auto"/>
            <w:noWrap/>
            <w:hideMark/>
          </w:tcPr>
          <w:p w14:paraId="629FDA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-0.0844</w:t>
            </w:r>
          </w:p>
        </w:tc>
        <w:tc>
          <w:tcPr>
            <w:tcW w:w="0" w:type="auto"/>
            <w:tcBorders>
              <w:top w:val="nil"/>
              <w:left w:val="nil"/>
              <w:bottom w:val="nil"/>
              <w:right w:val="nil"/>
            </w:tcBorders>
            <w:shd w:val="clear" w:color="auto" w:fill="auto"/>
            <w:noWrap/>
            <w:vAlign w:val="center"/>
            <w:hideMark/>
          </w:tcPr>
          <w:p w14:paraId="2986C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A888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(-2.97)</w:t>
            </w:r>
          </w:p>
        </w:tc>
      </w:tr>
      <w:tr w:rsidR="004A606C" w:rsidRPr="005F7C3C" w14:paraId="12849D80"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19D14FB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DEB994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22637642"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CBC90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c>
          <w:tcPr>
            <w:tcW w:w="0" w:type="auto"/>
            <w:tcBorders>
              <w:top w:val="nil"/>
              <w:left w:val="nil"/>
              <w:bottom w:val="single" w:sz="4" w:space="0" w:color="auto"/>
              <w:right w:val="nil"/>
            </w:tcBorders>
            <w:shd w:val="clear" w:color="auto" w:fill="auto"/>
            <w:noWrap/>
            <w:hideMark/>
          </w:tcPr>
          <w:p w14:paraId="48FD864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-0.2407</w:t>
            </w:r>
          </w:p>
        </w:tc>
        <w:tc>
          <w:tcPr>
            <w:tcW w:w="0" w:type="auto"/>
            <w:tcBorders>
              <w:top w:val="nil"/>
              <w:left w:val="nil"/>
              <w:bottom w:val="single" w:sz="4" w:space="0" w:color="auto"/>
              <w:right w:val="nil"/>
            </w:tcBorders>
            <w:shd w:val="clear" w:color="auto" w:fill="auto"/>
            <w:noWrap/>
            <w:vAlign w:val="center"/>
            <w:hideMark/>
          </w:tcPr>
          <w:p w14:paraId="4114519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438AEFD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(-5.82)</w:t>
            </w:r>
          </w:p>
        </w:tc>
        <w:tc>
          <w:tcPr>
            <w:tcW w:w="0" w:type="auto"/>
            <w:tcBorders>
              <w:top w:val="nil"/>
              <w:left w:val="nil"/>
              <w:bottom w:val="single" w:sz="4" w:space="0" w:color="auto"/>
              <w:right w:val="nil"/>
            </w:tcBorders>
            <w:shd w:val="clear" w:color="auto" w:fill="auto"/>
            <w:noWrap/>
            <w:hideMark/>
          </w:tcPr>
          <w:p w14:paraId="4420BB3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-0.2386</w:t>
            </w:r>
          </w:p>
        </w:tc>
        <w:tc>
          <w:tcPr>
            <w:tcW w:w="0" w:type="auto"/>
            <w:tcBorders>
              <w:top w:val="nil"/>
              <w:left w:val="nil"/>
              <w:bottom w:val="single" w:sz="4" w:space="0" w:color="auto"/>
              <w:right w:val="nil"/>
            </w:tcBorders>
            <w:shd w:val="clear" w:color="auto" w:fill="auto"/>
            <w:noWrap/>
            <w:vAlign w:val="center"/>
            <w:hideMark/>
          </w:tcPr>
          <w:p w14:paraId="36BBF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641AF82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(-5.77)</w:t>
            </w:r>
          </w:p>
        </w:tc>
        <w:tc>
          <w:tcPr>
            <w:tcW w:w="0" w:type="auto"/>
            <w:tcBorders>
              <w:top w:val="nil"/>
              <w:left w:val="nil"/>
              <w:bottom w:val="single" w:sz="4" w:space="0" w:color="auto"/>
              <w:right w:val="nil"/>
            </w:tcBorders>
            <w:shd w:val="clear" w:color="auto" w:fill="auto"/>
            <w:noWrap/>
            <w:hideMark/>
          </w:tcPr>
          <w:p w14:paraId="79AFC8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67A1A99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FF419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r>
      <w:tr w:rsidR="004A606C" w:rsidRPr="005F7C3C" w14:paraId="6EDD14AD" w14:textId="77777777" w:rsidTr="004A606C">
        <w:trPr>
          <w:trHeight w:val="20"/>
        </w:trPr>
        <w:tc>
          <w:tcPr>
            <w:tcW w:w="0" w:type="auto"/>
            <w:tcBorders>
              <w:top w:val="nil"/>
              <w:left w:val="nil"/>
              <w:bottom w:val="nil"/>
              <w:right w:val="nil"/>
            </w:tcBorders>
            <w:shd w:val="clear" w:color="auto" w:fill="auto"/>
            <w:noWrap/>
            <w:hideMark/>
          </w:tcPr>
          <w:p w14:paraId="049AED3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468B869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1B805E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BC68891"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A71F80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44AD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2BC7314"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2977E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8CA185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13FCD3"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5D6E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08A18D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CE81791" w14:textId="77777777" w:rsidR="004A606C" w:rsidRPr="004A606C" w:rsidRDefault="004A606C" w:rsidP="004A606C">
            <w:pPr>
              <w:rPr>
                <w:rFonts w:ascii="Times New Roman" w:eastAsia="Times New Roman" w:hAnsi="Times New Roman" w:cs="Times New Roman"/>
              </w:rPr>
            </w:pPr>
          </w:p>
        </w:tc>
      </w:tr>
      <w:tr w:rsidR="004A606C" w:rsidRPr="005F7C3C" w14:paraId="58DD2C21" w14:textId="77777777" w:rsidTr="004A606C">
        <w:trPr>
          <w:trHeight w:val="20"/>
        </w:trPr>
        <w:tc>
          <w:tcPr>
            <w:tcW w:w="0" w:type="auto"/>
            <w:tcBorders>
              <w:top w:val="nil"/>
              <w:left w:val="nil"/>
              <w:bottom w:val="nil"/>
              <w:right w:val="nil"/>
            </w:tcBorders>
            <w:shd w:val="clear" w:color="auto" w:fill="auto"/>
            <w:noWrap/>
            <w:vAlign w:val="center"/>
            <w:hideMark/>
          </w:tcPr>
          <w:p w14:paraId="326F2C8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Adjusted R</w:t>
            </w:r>
            <w:r w:rsidRPr="004A606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6E0D193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11.69%</w:t>
            </w:r>
          </w:p>
        </w:tc>
        <w:tc>
          <w:tcPr>
            <w:tcW w:w="0" w:type="auto"/>
            <w:tcBorders>
              <w:top w:val="nil"/>
              <w:left w:val="nil"/>
              <w:bottom w:val="nil"/>
              <w:right w:val="nil"/>
            </w:tcBorders>
            <w:shd w:val="clear" w:color="auto" w:fill="auto"/>
            <w:noWrap/>
            <w:vAlign w:val="bottom"/>
            <w:hideMark/>
          </w:tcPr>
          <w:p w14:paraId="078DB78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C5F6BA"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F972B1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11.68%</w:t>
            </w:r>
          </w:p>
        </w:tc>
        <w:tc>
          <w:tcPr>
            <w:tcW w:w="0" w:type="auto"/>
            <w:tcBorders>
              <w:top w:val="nil"/>
              <w:left w:val="nil"/>
              <w:bottom w:val="nil"/>
              <w:right w:val="nil"/>
            </w:tcBorders>
            <w:shd w:val="clear" w:color="auto" w:fill="auto"/>
            <w:noWrap/>
            <w:vAlign w:val="bottom"/>
            <w:hideMark/>
          </w:tcPr>
          <w:p w14:paraId="455DE6C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E6C3C8F"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95C1D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11.49%</w:t>
            </w:r>
          </w:p>
        </w:tc>
        <w:tc>
          <w:tcPr>
            <w:tcW w:w="0" w:type="auto"/>
            <w:tcBorders>
              <w:top w:val="nil"/>
              <w:left w:val="nil"/>
              <w:bottom w:val="nil"/>
              <w:right w:val="nil"/>
            </w:tcBorders>
            <w:shd w:val="clear" w:color="auto" w:fill="auto"/>
            <w:noWrap/>
            <w:vAlign w:val="bottom"/>
            <w:hideMark/>
          </w:tcPr>
          <w:p w14:paraId="3DF6EC7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4DA799B"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0C780A2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11.70%</w:t>
            </w:r>
          </w:p>
        </w:tc>
        <w:tc>
          <w:tcPr>
            <w:tcW w:w="0" w:type="auto"/>
            <w:tcBorders>
              <w:top w:val="nil"/>
              <w:left w:val="nil"/>
              <w:bottom w:val="nil"/>
              <w:right w:val="nil"/>
            </w:tcBorders>
            <w:shd w:val="clear" w:color="auto" w:fill="auto"/>
            <w:noWrap/>
            <w:vAlign w:val="bottom"/>
            <w:hideMark/>
          </w:tcPr>
          <w:p w14:paraId="742926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9C22A49" w14:textId="77777777" w:rsidR="004A606C" w:rsidRPr="004A606C" w:rsidRDefault="004A606C" w:rsidP="004A606C">
            <w:pPr>
              <w:rPr>
                <w:rFonts w:ascii="Times New Roman" w:eastAsia="Times New Roman" w:hAnsi="Times New Roman" w:cs="Times New Roman"/>
              </w:rPr>
            </w:pPr>
          </w:p>
        </w:tc>
      </w:tr>
      <w:tr w:rsidR="004A606C" w:rsidRPr="005F7C3C" w14:paraId="0EC00571"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F2C04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76C68EB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A5F2F5F"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0A91E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2FAC68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99E3EE0"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16DEBC18"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79E2985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4FB4795"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36F5C9E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E4FE4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A105C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0B0191B" w14:textId="77777777" w:rsidR="004A606C" w:rsidRPr="004A606C" w:rsidRDefault="004A606C" w:rsidP="004A606C">
            <w:pPr>
              <w:rPr>
                <w:rFonts w:eastAsia="Times New Roman"/>
                <w:color w:val="000000"/>
              </w:rPr>
            </w:pPr>
            <w:r w:rsidRPr="004A606C">
              <w:rPr>
                <w:rFonts w:eastAsia="Times New Roman"/>
                <w:color w:val="000000"/>
              </w:rPr>
              <w:t> </w:t>
            </w:r>
          </w:p>
        </w:tc>
      </w:tr>
    </w:tbl>
    <w:p w14:paraId="70031D39" w14:textId="5633EADB"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sidRPr="005F7C3C">
        <w:rPr>
          <w:rFonts w:ascii="Times New Roman" w:eastAsia="Times New Roman" w:hAnsi="Times New Roman" w:cs="Times New Roman"/>
          <w:color w:val="000000"/>
          <w:sz w:val="20"/>
          <w:szCs w:val="20"/>
        </w:rPr>
        <w:t>3</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errors.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62EDCD55" w14:textId="6CB690B1"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32D9B4A3" w14:textId="4272A2DA"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42556B6" w14:textId="77777777" w:rsidR="005F7C3C" w:rsidRPr="005F7C3C" w:rsidRDefault="005F7C3C" w:rsidP="005F7C3C">
      <w:pPr>
        <w:spacing w:after="160"/>
        <w:contextualSpacing/>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r w:rsidRPr="005F7C3C">
        <w:rPr>
          <w:rFonts w:ascii="Times New Roman" w:eastAsia="Times New Roman" w:hAnsi="Times New Roman" w:cs="Times New Roman"/>
          <w:b/>
          <w:bCs/>
          <w:color w:val="000000"/>
          <w:sz w:val="24"/>
        </w:rPr>
        <w:lastRenderedPageBreak/>
        <w:t>Table 4</w:t>
      </w:r>
    </w:p>
    <w:p w14:paraId="42DE6182" w14:textId="6E9FE81B" w:rsidR="005F7C3C" w:rsidRDefault="005F7C3C" w:rsidP="005F7C3C">
      <w:pPr>
        <w:spacing w:after="160"/>
        <w:contextualSpacing/>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Regressions of Analyst Forecast Dispersion</w:t>
      </w:r>
    </w:p>
    <w:p w14:paraId="079843E8" w14:textId="7752E862" w:rsidR="005F7C3C" w:rsidRDefault="005F7C3C" w:rsidP="005F7C3C">
      <w:pPr>
        <w:spacing w:after="160"/>
        <w:contextualSpacing/>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151"/>
        <w:gridCol w:w="546"/>
        <w:gridCol w:w="821"/>
        <w:gridCol w:w="1041"/>
        <w:gridCol w:w="546"/>
        <w:gridCol w:w="821"/>
        <w:gridCol w:w="1041"/>
        <w:gridCol w:w="546"/>
        <w:gridCol w:w="821"/>
        <w:gridCol w:w="1041"/>
        <w:gridCol w:w="546"/>
        <w:gridCol w:w="821"/>
      </w:tblGrid>
      <w:tr w:rsidR="005F7C3C" w:rsidRPr="005F7C3C" w14:paraId="298880F3"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3BFC3576" w14:textId="77777777" w:rsidR="005F7C3C" w:rsidRPr="005F7C3C" w:rsidRDefault="005F7C3C" w:rsidP="005F7C3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559BC3B6"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AFDISP</w:t>
            </w:r>
          </w:p>
        </w:tc>
        <w:tc>
          <w:tcPr>
            <w:tcW w:w="0" w:type="auto"/>
            <w:tcBorders>
              <w:top w:val="single" w:sz="4" w:space="0" w:color="auto"/>
              <w:left w:val="nil"/>
              <w:bottom w:val="nil"/>
              <w:right w:val="nil"/>
            </w:tcBorders>
            <w:shd w:val="clear" w:color="auto" w:fill="auto"/>
            <w:noWrap/>
            <w:vAlign w:val="bottom"/>
            <w:hideMark/>
          </w:tcPr>
          <w:p w14:paraId="53B000C5" w14:textId="77777777" w:rsidR="005F7C3C" w:rsidRPr="005F7C3C" w:rsidRDefault="005F7C3C" w:rsidP="005F7C3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221A75BC" w14:textId="77777777" w:rsidR="005F7C3C" w:rsidRPr="005F7C3C" w:rsidRDefault="005F7C3C" w:rsidP="005F7C3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6C2383E9" w14:textId="77777777" w:rsidR="005F7C3C" w:rsidRPr="005F7C3C" w:rsidRDefault="005F7C3C" w:rsidP="005F7C3C">
            <w:pPr>
              <w:rPr>
                <w:rFonts w:ascii="Times New Roman" w:eastAsia="Times New Roman" w:hAnsi="Times New Roman" w:cs="Times New Roman"/>
              </w:rPr>
            </w:pPr>
          </w:p>
        </w:tc>
      </w:tr>
      <w:tr w:rsidR="005F7C3C" w:rsidRPr="005F7C3C" w14:paraId="0F6AE7E6" w14:textId="77777777" w:rsidTr="005F7C3C">
        <w:trPr>
          <w:trHeight w:val="20"/>
        </w:trPr>
        <w:tc>
          <w:tcPr>
            <w:tcW w:w="0" w:type="auto"/>
            <w:tcBorders>
              <w:top w:val="nil"/>
              <w:left w:val="nil"/>
              <w:bottom w:val="nil"/>
              <w:right w:val="nil"/>
            </w:tcBorders>
            <w:shd w:val="clear" w:color="auto" w:fill="auto"/>
            <w:noWrap/>
            <w:vAlign w:val="bottom"/>
            <w:hideMark/>
          </w:tcPr>
          <w:p w14:paraId="74C7B521" w14:textId="77777777" w:rsidR="005F7C3C" w:rsidRPr="005F7C3C" w:rsidRDefault="005F7C3C" w:rsidP="005F7C3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2C7C9E7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43D6F472"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286C976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68F80F2C"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5F7C3C" w:rsidRPr="005F7C3C" w14:paraId="4320972F" w14:textId="77777777" w:rsidTr="005F7C3C">
        <w:trPr>
          <w:trHeight w:val="20"/>
        </w:trPr>
        <w:tc>
          <w:tcPr>
            <w:tcW w:w="0" w:type="auto"/>
            <w:tcBorders>
              <w:top w:val="nil"/>
              <w:left w:val="nil"/>
              <w:bottom w:val="nil"/>
              <w:right w:val="nil"/>
            </w:tcBorders>
            <w:shd w:val="clear" w:color="auto" w:fill="auto"/>
            <w:noWrap/>
            <w:vAlign w:val="bottom"/>
            <w:hideMark/>
          </w:tcPr>
          <w:p w14:paraId="134F1F06" w14:textId="77777777" w:rsidR="005F7C3C" w:rsidRPr="005F7C3C" w:rsidRDefault="005F7C3C" w:rsidP="005F7C3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D65F30F"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2B2A6409"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144C8217"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56277782"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5F7C3C" w:rsidRPr="005F7C3C" w14:paraId="661DC3B6" w14:textId="77777777" w:rsidTr="005F7C3C">
        <w:trPr>
          <w:trHeight w:val="20"/>
        </w:trPr>
        <w:tc>
          <w:tcPr>
            <w:tcW w:w="0" w:type="auto"/>
            <w:tcBorders>
              <w:top w:val="nil"/>
              <w:left w:val="nil"/>
              <w:bottom w:val="single" w:sz="4" w:space="0" w:color="auto"/>
              <w:right w:val="nil"/>
            </w:tcBorders>
            <w:shd w:val="clear" w:color="auto" w:fill="auto"/>
            <w:noWrap/>
            <w:vAlign w:val="bottom"/>
            <w:hideMark/>
          </w:tcPr>
          <w:p w14:paraId="5454C19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29282D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9B2173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030AFA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06CEA4D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0973894"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4626980"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4E75FDE9"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F9AA62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AE48C6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CEAC5F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5B8CB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5662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5F7C3C" w:rsidRPr="005F7C3C" w14:paraId="5066CF29" w14:textId="77777777" w:rsidTr="005F7C3C">
        <w:trPr>
          <w:trHeight w:val="20"/>
        </w:trPr>
        <w:tc>
          <w:tcPr>
            <w:tcW w:w="0" w:type="auto"/>
            <w:tcBorders>
              <w:top w:val="nil"/>
              <w:left w:val="nil"/>
              <w:bottom w:val="nil"/>
              <w:right w:val="nil"/>
            </w:tcBorders>
            <w:shd w:val="clear" w:color="auto" w:fill="auto"/>
            <w:noWrap/>
            <w:vAlign w:val="bottom"/>
            <w:hideMark/>
          </w:tcPr>
          <w:p w14:paraId="1EE9FE0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1C21A8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-0.0564</w:t>
            </w:r>
          </w:p>
        </w:tc>
        <w:tc>
          <w:tcPr>
            <w:tcW w:w="0" w:type="auto"/>
            <w:tcBorders>
              <w:top w:val="nil"/>
              <w:left w:val="nil"/>
              <w:bottom w:val="nil"/>
              <w:right w:val="nil"/>
            </w:tcBorders>
            <w:shd w:val="clear" w:color="auto" w:fill="auto"/>
            <w:noWrap/>
            <w:vAlign w:val="center"/>
            <w:hideMark/>
          </w:tcPr>
          <w:p w14:paraId="5E8035F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7A2E97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(-6.99)</w:t>
            </w:r>
          </w:p>
        </w:tc>
        <w:tc>
          <w:tcPr>
            <w:tcW w:w="0" w:type="auto"/>
            <w:tcBorders>
              <w:top w:val="nil"/>
              <w:left w:val="nil"/>
              <w:bottom w:val="nil"/>
              <w:right w:val="nil"/>
            </w:tcBorders>
            <w:shd w:val="clear" w:color="auto" w:fill="auto"/>
            <w:noWrap/>
            <w:hideMark/>
          </w:tcPr>
          <w:p w14:paraId="3FE2946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-0.0585</w:t>
            </w:r>
          </w:p>
        </w:tc>
        <w:tc>
          <w:tcPr>
            <w:tcW w:w="0" w:type="auto"/>
            <w:tcBorders>
              <w:top w:val="nil"/>
              <w:left w:val="nil"/>
              <w:bottom w:val="nil"/>
              <w:right w:val="nil"/>
            </w:tcBorders>
            <w:shd w:val="clear" w:color="auto" w:fill="auto"/>
            <w:noWrap/>
            <w:vAlign w:val="center"/>
            <w:hideMark/>
          </w:tcPr>
          <w:p w14:paraId="7264131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3DA4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(-7.52)</w:t>
            </w:r>
          </w:p>
        </w:tc>
        <w:tc>
          <w:tcPr>
            <w:tcW w:w="0" w:type="auto"/>
            <w:tcBorders>
              <w:top w:val="nil"/>
              <w:left w:val="nil"/>
              <w:bottom w:val="nil"/>
              <w:right w:val="nil"/>
            </w:tcBorders>
            <w:shd w:val="clear" w:color="auto" w:fill="auto"/>
            <w:noWrap/>
            <w:hideMark/>
          </w:tcPr>
          <w:p w14:paraId="4BDEF32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-0.0520</w:t>
            </w:r>
          </w:p>
        </w:tc>
        <w:tc>
          <w:tcPr>
            <w:tcW w:w="0" w:type="auto"/>
            <w:tcBorders>
              <w:top w:val="nil"/>
              <w:left w:val="nil"/>
              <w:bottom w:val="nil"/>
              <w:right w:val="nil"/>
            </w:tcBorders>
            <w:shd w:val="clear" w:color="auto" w:fill="auto"/>
            <w:noWrap/>
            <w:vAlign w:val="center"/>
            <w:hideMark/>
          </w:tcPr>
          <w:p w14:paraId="43237DB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A4E5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(-6.39)</w:t>
            </w:r>
          </w:p>
        </w:tc>
        <w:tc>
          <w:tcPr>
            <w:tcW w:w="0" w:type="auto"/>
            <w:tcBorders>
              <w:top w:val="nil"/>
              <w:left w:val="nil"/>
              <w:bottom w:val="nil"/>
              <w:right w:val="nil"/>
            </w:tcBorders>
            <w:shd w:val="clear" w:color="auto" w:fill="auto"/>
            <w:noWrap/>
            <w:hideMark/>
          </w:tcPr>
          <w:p w14:paraId="11BD15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-0.0557</w:t>
            </w:r>
          </w:p>
        </w:tc>
        <w:tc>
          <w:tcPr>
            <w:tcW w:w="0" w:type="auto"/>
            <w:tcBorders>
              <w:top w:val="nil"/>
              <w:left w:val="nil"/>
              <w:bottom w:val="nil"/>
              <w:right w:val="nil"/>
            </w:tcBorders>
            <w:shd w:val="clear" w:color="auto" w:fill="auto"/>
            <w:noWrap/>
            <w:vAlign w:val="center"/>
            <w:hideMark/>
          </w:tcPr>
          <w:p w14:paraId="1DFA7FBE"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0351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(-6.78)</w:t>
            </w:r>
          </w:p>
        </w:tc>
      </w:tr>
      <w:tr w:rsidR="005F7C3C" w:rsidRPr="005F7C3C" w14:paraId="1D980497" w14:textId="77777777" w:rsidTr="005F7C3C">
        <w:trPr>
          <w:trHeight w:val="20"/>
        </w:trPr>
        <w:tc>
          <w:tcPr>
            <w:tcW w:w="0" w:type="auto"/>
            <w:tcBorders>
              <w:top w:val="nil"/>
              <w:left w:val="nil"/>
              <w:bottom w:val="nil"/>
              <w:right w:val="nil"/>
            </w:tcBorders>
            <w:shd w:val="clear" w:color="auto" w:fill="auto"/>
            <w:noWrap/>
            <w:hideMark/>
          </w:tcPr>
          <w:p w14:paraId="13264AF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F177F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37ECA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30A89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w:t>
            </w:r>
          </w:p>
        </w:tc>
        <w:tc>
          <w:tcPr>
            <w:tcW w:w="0" w:type="auto"/>
            <w:tcBorders>
              <w:top w:val="nil"/>
              <w:left w:val="nil"/>
              <w:bottom w:val="nil"/>
              <w:right w:val="nil"/>
            </w:tcBorders>
            <w:shd w:val="clear" w:color="auto" w:fill="auto"/>
            <w:noWrap/>
            <w:hideMark/>
          </w:tcPr>
          <w:p w14:paraId="0FC1108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0.0114</w:t>
            </w:r>
          </w:p>
        </w:tc>
        <w:tc>
          <w:tcPr>
            <w:tcW w:w="0" w:type="auto"/>
            <w:tcBorders>
              <w:top w:val="nil"/>
              <w:left w:val="nil"/>
              <w:bottom w:val="nil"/>
              <w:right w:val="nil"/>
            </w:tcBorders>
            <w:shd w:val="clear" w:color="auto" w:fill="auto"/>
            <w:noWrap/>
            <w:vAlign w:val="center"/>
            <w:hideMark/>
          </w:tcPr>
          <w:p w14:paraId="7CA4238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F397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c>
          <w:tcPr>
            <w:tcW w:w="0" w:type="auto"/>
            <w:tcBorders>
              <w:top w:val="nil"/>
              <w:left w:val="nil"/>
              <w:bottom w:val="nil"/>
              <w:right w:val="nil"/>
            </w:tcBorders>
            <w:shd w:val="clear" w:color="auto" w:fill="auto"/>
            <w:noWrap/>
            <w:hideMark/>
          </w:tcPr>
          <w:p w14:paraId="7F0DE90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53B2ED4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53D9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0559B02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CC805F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0998B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w:t>
            </w:r>
          </w:p>
        </w:tc>
      </w:tr>
      <w:tr w:rsidR="005F7C3C" w:rsidRPr="005F7C3C" w14:paraId="75F470C9" w14:textId="77777777" w:rsidTr="005F7C3C">
        <w:trPr>
          <w:trHeight w:val="20"/>
        </w:trPr>
        <w:tc>
          <w:tcPr>
            <w:tcW w:w="0" w:type="auto"/>
            <w:tcBorders>
              <w:top w:val="nil"/>
              <w:left w:val="nil"/>
              <w:bottom w:val="nil"/>
              <w:right w:val="nil"/>
            </w:tcBorders>
            <w:shd w:val="clear" w:color="auto" w:fill="auto"/>
            <w:noWrap/>
            <w:hideMark/>
          </w:tcPr>
          <w:p w14:paraId="6BF4E42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CE0B21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431C4A4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5B9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67A9E2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B74696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BFD830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07990D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15BAB0A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18A9C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(-1.61)</w:t>
            </w:r>
          </w:p>
        </w:tc>
        <w:tc>
          <w:tcPr>
            <w:tcW w:w="0" w:type="auto"/>
            <w:tcBorders>
              <w:top w:val="nil"/>
              <w:left w:val="nil"/>
              <w:bottom w:val="nil"/>
              <w:right w:val="nil"/>
            </w:tcBorders>
            <w:shd w:val="clear" w:color="auto" w:fill="auto"/>
            <w:noWrap/>
            <w:hideMark/>
          </w:tcPr>
          <w:p w14:paraId="6B36E5D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341CC7D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2C6A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5F7C3C" w:rsidRPr="005F7C3C" w14:paraId="2F5E7DF1" w14:textId="77777777" w:rsidTr="005F7C3C">
        <w:trPr>
          <w:trHeight w:val="20"/>
        </w:trPr>
        <w:tc>
          <w:tcPr>
            <w:tcW w:w="0" w:type="auto"/>
            <w:tcBorders>
              <w:top w:val="nil"/>
              <w:left w:val="nil"/>
              <w:bottom w:val="nil"/>
              <w:right w:val="nil"/>
            </w:tcBorders>
            <w:shd w:val="clear" w:color="auto" w:fill="auto"/>
            <w:noWrap/>
            <w:hideMark/>
          </w:tcPr>
          <w:p w14:paraId="3D97CBED" w14:textId="77777777" w:rsidR="005F7C3C" w:rsidRPr="005F7C3C" w:rsidRDefault="005F7C3C" w:rsidP="005F7C3C">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37715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-0.0076</w:t>
            </w:r>
          </w:p>
        </w:tc>
        <w:tc>
          <w:tcPr>
            <w:tcW w:w="0" w:type="auto"/>
            <w:tcBorders>
              <w:top w:val="nil"/>
              <w:left w:val="nil"/>
              <w:bottom w:val="nil"/>
              <w:right w:val="nil"/>
            </w:tcBorders>
            <w:shd w:val="clear" w:color="auto" w:fill="auto"/>
            <w:noWrap/>
            <w:vAlign w:val="center"/>
            <w:hideMark/>
          </w:tcPr>
          <w:p w14:paraId="0A73025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92C70AE"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(-2.57)</w:t>
            </w:r>
          </w:p>
        </w:tc>
        <w:tc>
          <w:tcPr>
            <w:tcW w:w="0" w:type="auto"/>
            <w:tcBorders>
              <w:top w:val="nil"/>
              <w:left w:val="nil"/>
              <w:bottom w:val="nil"/>
              <w:right w:val="nil"/>
            </w:tcBorders>
            <w:shd w:val="clear" w:color="auto" w:fill="auto"/>
            <w:noWrap/>
            <w:hideMark/>
          </w:tcPr>
          <w:p w14:paraId="38EBB73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-0.0128</w:t>
            </w:r>
          </w:p>
        </w:tc>
        <w:tc>
          <w:tcPr>
            <w:tcW w:w="0" w:type="auto"/>
            <w:tcBorders>
              <w:top w:val="nil"/>
              <w:left w:val="nil"/>
              <w:bottom w:val="nil"/>
              <w:right w:val="nil"/>
            </w:tcBorders>
            <w:shd w:val="clear" w:color="auto" w:fill="auto"/>
            <w:noWrap/>
            <w:vAlign w:val="center"/>
            <w:hideMark/>
          </w:tcPr>
          <w:p w14:paraId="45E00042"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D76D0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1239CB9F"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-0.0088</w:t>
            </w:r>
          </w:p>
        </w:tc>
        <w:tc>
          <w:tcPr>
            <w:tcW w:w="0" w:type="auto"/>
            <w:tcBorders>
              <w:top w:val="nil"/>
              <w:left w:val="nil"/>
              <w:bottom w:val="nil"/>
              <w:right w:val="nil"/>
            </w:tcBorders>
            <w:shd w:val="clear" w:color="auto" w:fill="auto"/>
            <w:noWrap/>
            <w:vAlign w:val="center"/>
            <w:hideMark/>
          </w:tcPr>
          <w:p w14:paraId="4E455D17"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6111C6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697AE46B"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2A99D0A3"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9E5C90A"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(-2.46)</w:t>
            </w:r>
          </w:p>
        </w:tc>
      </w:tr>
      <w:tr w:rsidR="005F7C3C" w:rsidRPr="005F7C3C" w14:paraId="4A1DE75E" w14:textId="77777777" w:rsidTr="005F7C3C">
        <w:trPr>
          <w:trHeight w:val="20"/>
        </w:trPr>
        <w:tc>
          <w:tcPr>
            <w:tcW w:w="0" w:type="auto"/>
            <w:tcBorders>
              <w:top w:val="nil"/>
              <w:left w:val="nil"/>
              <w:bottom w:val="nil"/>
              <w:right w:val="nil"/>
            </w:tcBorders>
            <w:shd w:val="clear" w:color="auto" w:fill="auto"/>
            <w:noWrap/>
            <w:hideMark/>
          </w:tcPr>
          <w:p w14:paraId="57126350"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7778C8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6FC2311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E375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(1.49)</w:t>
            </w:r>
          </w:p>
        </w:tc>
        <w:tc>
          <w:tcPr>
            <w:tcW w:w="0" w:type="auto"/>
            <w:tcBorders>
              <w:top w:val="nil"/>
              <w:left w:val="nil"/>
              <w:bottom w:val="nil"/>
              <w:right w:val="nil"/>
            </w:tcBorders>
            <w:shd w:val="clear" w:color="auto" w:fill="auto"/>
            <w:noWrap/>
            <w:hideMark/>
          </w:tcPr>
          <w:p w14:paraId="3C1E0BC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7B7B2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5361E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52E099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0.0073</w:t>
            </w:r>
          </w:p>
        </w:tc>
        <w:tc>
          <w:tcPr>
            <w:tcW w:w="0" w:type="auto"/>
            <w:tcBorders>
              <w:top w:val="nil"/>
              <w:left w:val="nil"/>
              <w:bottom w:val="nil"/>
              <w:right w:val="nil"/>
            </w:tcBorders>
            <w:shd w:val="clear" w:color="auto" w:fill="auto"/>
            <w:noWrap/>
            <w:vAlign w:val="center"/>
            <w:hideMark/>
          </w:tcPr>
          <w:p w14:paraId="0D799C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12E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2FF30F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1A9CBE1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5B99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(1.48)</w:t>
            </w:r>
          </w:p>
        </w:tc>
      </w:tr>
      <w:tr w:rsidR="005F7C3C" w:rsidRPr="005F7C3C" w14:paraId="767380E9" w14:textId="77777777" w:rsidTr="005F7C3C">
        <w:trPr>
          <w:trHeight w:val="20"/>
        </w:trPr>
        <w:tc>
          <w:tcPr>
            <w:tcW w:w="0" w:type="auto"/>
            <w:tcBorders>
              <w:top w:val="nil"/>
              <w:left w:val="nil"/>
              <w:bottom w:val="nil"/>
              <w:right w:val="nil"/>
            </w:tcBorders>
            <w:shd w:val="clear" w:color="auto" w:fill="auto"/>
            <w:noWrap/>
            <w:hideMark/>
          </w:tcPr>
          <w:p w14:paraId="7841D13E"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0053E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343780B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5270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(-0.89)</w:t>
            </w:r>
          </w:p>
        </w:tc>
        <w:tc>
          <w:tcPr>
            <w:tcW w:w="0" w:type="auto"/>
            <w:tcBorders>
              <w:top w:val="nil"/>
              <w:left w:val="nil"/>
              <w:bottom w:val="nil"/>
              <w:right w:val="nil"/>
            </w:tcBorders>
            <w:shd w:val="clear" w:color="auto" w:fill="auto"/>
            <w:noWrap/>
            <w:hideMark/>
          </w:tcPr>
          <w:p w14:paraId="05A68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602D836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1666D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6F75672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0343D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4DA47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c>
          <w:tcPr>
            <w:tcW w:w="0" w:type="auto"/>
            <w:tcBorders>
              <w:top w:val="nil"/>
              <w:left w:val="nil"/>
              <w:bottom w:val="nil"/>
              <w:right w:val="nil"/>
            </w:tcBorders>
            <w:shd w:val="clear" w:color="auto" w:fill="auto"/>
            <w:noWrap/>
            <w:hideMark/>
          </w:tcPr>
          <w:p w14:paraId="2BABF0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-0.0033</w:t>
            </w:r>
          </w:p>
        </w:tc>
        <w:tc>
          <w:tcPr>
            <w:tcW w:w="0" w:type="auto"/>
            <w:tcBorders>
              <w:top w:val="nil"/>
              <w:left w:val="nil"/>
              <w:bottom w:val="nil"/>
              <w:right w:val="nil"/>
            </w:tcBorders>
            <w:shd w:val="clear" w:color="auto" w:fill="auto"/>
            <w:noWrap/>
            <w:vAlign w:val="center"/>
            <w:hideMark/>
          </w:tcPr>
          <w:p w14:paraId="7E3D0F8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8AE4A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5F7C3C" w:rsidRPr="005F7C3C" w14:paraId="1EFFD402" w14:textId="77777777" w:rsidTr="005F7C3C">
        <w:trPr>
          <w:trHeight w:val="20"/>
        </w:trPr>
        <w:tc>
          <w:tcPr>
            <w:tcW w:w="0" w:type="auto"/>
            <w:tcBorders>
              <w:top w:val="nil"/>
              <w:left w:val="nil"/>
              <w:bottom w:val="nil"/>
              <w:right w:val="nil"/>
            </w:tcBorders>
            <w:shd w:val="clear" w:color="auto" w:fill="auto"/>
            <w:noWrap/>
            <w:hideMark/>
          </w:tcPr>
          <w:p w14:paraId="48255019"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A7EA6D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47D2BB0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5DD53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7CCA228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19B9D0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E456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c>
          <w:tcPr>
            <w:tcW w:w="0" w:type="auto"/>
            <w:tcBorders>
              <w:top w:val="nil"/>
              <w:left w:val="nil"/>
              <w:bottom w:val="nil"/>
              <w:right w:val="nil"/>
            </w:tcBorders>
            <w:shd w:val="clear" w:color="auto" w:fill="auto"/>
            <w:noWrap/>
            <w:hideMark/>
          </w:tcPr>
          <w:p w14:paraId="47CB22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7073CC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BB2987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(-0.47)</w:t>
            </w:r>
          </w:p>
        </w:tc>
        <w:tc>
          <w:tcPr>
            <w:tcW w:w="0" w:type="auto"/>
            <w:tcBorders>
              <w:top w:val="nil"/>
              <w:left w:val="nil"/>
              <w:bottom w:val="nil"/>
              <w:right w:val="nil"/>
            </w:tcBorders>
            <w:shd w:val="clear" w:color="auto" w:fill="auto"/>
            <w:noWrap/>
            <w:hideMark/>
          </w:tcPr>
          <w:p w14:paraId="1D90241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3DC445F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BBF70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r>
      <w:tr w:rsidR="005F7C3C" w:rsidRPr="005F7C3C" w14:paraId="14CCBAA6" w14:textId="77777777" w:rsidTr="005F7C3C">
        <w:trPr>
          <w:trHeight w:val="20"/>
        </w:trPr>
        <w:tc>
          <w:tcPr>
            <w:tcW w:w="0" w:type="auto"/>
            <w:tcBorders>
              <w:top w:val="nil"/>
              <w:left w:val="nil"/>
              <w:bottom w:val="nil"/>
              <w:right w:val="nil"/>
            </w:tcBorders>
            <w:shd w:val="clear" w:color="auto" w:fill="auto"/>
            <w:noWrap/>
            <w:hideMark/>
          </w:tcPr>
          <w:p w14:paraId="577500C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3EAAD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3AF436B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E487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B26F62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50BF037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F42A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14047F3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0B90FE6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47D84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6E4561E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76C8EE4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69BE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(-1.22)</w:t>
            </w:r>
          </w:p>
        </w:tc>
      </w:tr>
      <w:tr w:rsidR="005F7C3C" w:rsidRPr="005F7C3C" w14:paraId="3EE683D9" w14:textId="77777777" w:rsidTr="005F7C3C">
        <w:trPr>
          <w:trHeight w:val="20"/>
        </w:trPr>
        <w:tc>
          <w:tcPr>
            <w:tcW w:w="0" w:type="auto"/>
            <w:tcBorders>
              <w:top w:val="nil"/>
              <w:left w:val="nil"/>
              <w:bottom w:val="nil"/>
              <w:right w:val="nil"/>
            </w:tcBorders>
            <w:shd w:val="clear" w:color="auto" w:fill="auto"/>
            <w:noWrap/>
            <w:hideMark/>
          </w:tcPr>
          <w:p w14:paraId="0D211DE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A8568E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B167062"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6E25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539F49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20CC3D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6DD27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E2F621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AD2DDC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93EC5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03DDE06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71F5B3D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0222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5F7C3C" w:rsidRPr="005F7C3C" w14:paraId="7D672C17" w14:textId="77777777" w:rsidTr="005F7C3C">
        <w:trPr>
          <w:trHeight w:val="20"/>
        </w:trPr>
        <w:tc>
          <w:tcPr>
            <w:tcW w:w="0" w:type="auto"/>
            <w:tcBorders>
              <w:top w:val="nil"/>
              <w:left w:val="nil"/>
              <w:bottom w:val="nil"/>
              <w:right w:val="nil"/>
            </w:tcBorders>
            <w:shd w:val="clear" w:color="auto" w:fill="auto"/>
            <w:noWrap/>
            <w:hideMark/>
          </w:tcPr>
          <w:p w14:paraId="2C5CF1C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4B41F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0D37EA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01D6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(-0.73)</w:t>
            </w:r>
          </w:p>
        </w:tc>
        <w:tc>
          <w:tcPr>
            <w:tcW w:w="0" w:type="auto"/>
            <w:tcBorders>
              <w:top w:val="nil"/>
              <w:left w:val="nil"/>
              <w:bottom w:val="nil"/>
              <w:right w:val="nil"/>
            </w:tcBorders>
            <w:shd w:val="clear" w:color="auto" w:fill="auto"/>
            <w:noWrap/>
            <w:hideMark/>
          </w:tcPr>
          <w:p w14:paraId="11E554E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25F81E1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AA7BE0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(-0.84)</w:t>
            </w:r>
          </w:p>
        </w:tc>
        <w:tc>
          <w:tcPr>
            <w:tcW w:w="0" w:type="auto"/>
            <w:tcBorders>
              <w:top w:val="nil"/>
              <w:left w:val="nil"/>
              <w:bottom w:val="nil"/>
              <w:right w:val="nil"/>
            </w:tcBorders>
            <w:shd w:val="clear" w:color="auto" w:fill="auto"/>
            <w:noWrap/>
            <w:hideMark/>
          </w:tcPr>
          <w:p w14:paraId="503148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-0.0039</w:t>
            </w:r>
          </w:p>
        </w:tc>
        <w:tc>
          <w:tcPr>
            <w:tcW w:w="0" w:type="auto"/>
            <w:tcBorders>
              <w:top w:val="nil"/>
              <w:left w:val="nil"/>
              <w:bottom w:val="nil"/>
              <w:right w:val="nil"/>
            </w:tcBorders>
            <w:shd w:val="clear" w:color="auto" w:fill="auto"/>
            <w:noWrap/>
            <w:vAlign w:val="center"/>
            <w:hideMark/>
          </w:tcPr>
          <w:p w14:paraId="0DB7B81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1EE0F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27A83E1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C61D4B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2A2F5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r>
      <w:tr w:rsidR="005F7C3C" w:rsidRPr="005F7C3C" w14:paraId="42C105FD" w14:textId="77777777" w:rsidTr="005F7C3C">
        <w:trPr>
          <w:trHeight w:val="20"/>
        </w:trPr>
        <w:tc>
          <w:tcPr>
            <w:tcW w:w="0" w:type="auto"/>
            <w:tcBorders>
              <w:top w:val="nil"/>
              <w:left w:val="nil"/>
              <w:bottom w:val="nil"/>
              <w:right w:val="nil"/>
            </w:tcBorders>
            <w:shd w:val="clear" w:color="auto" w:fill="auto"/>
            <w:noWrap/>
            <w:hideMark/>
          </w:tcPr>
          <w:p w14:paraId="7A13687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559C60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0.0084</w:t>
            </w:r>
          </w:p>
        </w:tc>
        <w:tc>
          <w:tcPr>
            <w:tcW w:w="0" w:type="auto"/>
            <w:tcBorders>
              <w:top w:val="nil"/>
              <w:left w:val="nil"/>
              <w:bottom w:val="nil"/>
              <w:right w:val="nil"/>
            </w:tcBorders>
            <w:shd w:val="clear" w:color="auto" w:fill="auto"/>
            <w:noWrap/>
            <w:vAlign w:val="center"/>
            <w:hideMark/>
          </w:tcPr>
          <w:p w14:paraId="6B252CD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C356FA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w:t>
            </w:r>
          </w:p>
        </w:tc>
        <w:tc>
          <w:tcPr>
            <w:tcW w:w="0" w:type="auto"/>
            <w:tcBorders>
              <w:top w:val="nil"/>
              <w:left w:val="nil"/>
              <w:bottom w:val="nil"/>
              <w:right w:val="nil"/>
            </w:tcBorders>
            <w:shd w:val="clear" w:color="auto" w:fill="auto"/>
            <w:noWrap/>
            <w:hideMark/>
          </w:tcPr>
          <w:p w14:paraId="7908000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42F4E6A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4168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(1.90)</w:t>
            </w:r>
          </w:p>
        </w:tc>
        <w:tc>
          <w:tcPr>
            <w:tcW w:w="0" w:type="auto"/>
            <w:tcBorders>
              <w:top w:val="nil"/>
              <w:left w:val="nil"/>
              <w:bottom w:val="nil"/>
              <w:right w:val="nil"/>
            </w:tcBorders>
            <w:shd w:val="clear" w:color="auto" w:fill="auto"/>
            <w:noWrap/>
            <w:hideMark/>
          </w:tcPr>
          <w:p w14:paraId="105ECC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1FE0DB4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4824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(2.00)</w:t>
            </w:r>
          </w:p>
        </w:tc>
        <w:tc>
          <w:tcPr>
            <w:tcW w:w="0" w:type="auto"/>
            <w:tcBorders>
              <w:top w:val="nil"/>
              <w:left w:val="nil"/>
              <w:bottom w:val="nil"/>
              <w:right w:val="nil"/>
            </w:tcBorders>
            <w:shd w:val="clear" w:color="auto" w:fill="auto"/>
            <w:noWrap/>
            <w:hideMark/>
          </w:tcPr>
          <w:p w14:paraId="3AB5E4C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F16DE7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61673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(1.96)</w:t>
            </w:r>
          </w:p>
        </w:tc>
      </w:tr>
      <w:tr w:rsidR="005F7C3C" w:rsidRPr="005F7C3C" w14:paraId="761839CB" w14:textId="77777777" w:rsidTr="005F7C3C">
        <w:trPr>
          <w:trHeight w:val="20"/>
        </w:trPr>
        <w:tc>
          <w:tcPr>
            <w:tcW w:w="0" w:type="auto"/>
            <w:tcBorders>
              <w:top w:val="nil"/>
              <w:left w:val="nil"/>
              <w:bottom w:val="nil"/>
              <w:right w:val="nil"/>
            </w:tcBorders>
            <w:shd w:val="clear" w:color="auto" w:fill="auto"/>
            <w:noWrap/>
            <w:hideMark/>
          </w:tcPr>
          <w:p w14:paraId="020F9B6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2BCA2F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69CE7E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791C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D43579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83E9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AF8A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(0.53)</w:t>
            </w:r>
          </w:p>
        </w:tc>
        <w:tc>
          <w:tcPr>
            <w:tcW w:w="0" w:type="auto"/>
            <w:tcBorders>
              <w:top w:val="nil"/>
              <w:left w:val="nil"/>
              <w:bottom w:val="nil"/>
              <w:right w:val="nil"/>
            </w:tcBorders>
            <w:shd w:val="clear" w:color="auto" w:fill="auto"/>
            <w:noWrap/>
            <w:hideMark/>
          </w:tcPr>
          <w:p w14:paraId="7F7405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210A515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DEE60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392C2E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F0983A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FDE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r>
      <w:tr w:rsidR="005F7C3C" w:rsidRPr="005F7C3C" w14:paraId="65A28D5B" w14:textId="77777777" w:rsidTr="005F7C3C">
        <w:trPr>
          <w:trHeight w:val="20"/>
        </w:trPr>
        <w:tc>
          <w:tcPr>
            <w:tcW w:w="0" w:type="auto"/>
            <w:tcBorders>
              <w:top w:val="nil"/>
              <w:left w:val="nil"/>
              <w:bottom w:val="nil"/>
              <w:right w:val="nil"/>
            </w:tcBorders>
            <w:shd w:val="clear" w:color="auto" w:fill="auto"/>
            <w:noWrap/>
            <w:hideMark/>
          </w:tcPr>
          <w:p w14:paraId="1A6E076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1EA8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552785B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40B6F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15B8B9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AB779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C1411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5FEC07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CF6C60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1820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12AF817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7205702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ACE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r>
      <w:tr w:rsidR="005F7C3C" w:rsidRPr="005F7C3C" w14:paraId="49B6207E" w14:textId="77777777" w:rsidTr="005F7C3C">
        <w:trPr>
          <w:trHeight w:val="20"/>
        </w:trPr>
        <w:tc>
          <w:tcPr>
            <w:tcW w:w="0" w:type="auto"/>
            <w:tcBorders>
              <w:top w:val="nil"/>
              <w:left w:val="nil"/>
              <w:bottom w:val="nil"/>
              <w:right w:val="nil"/>
            </w:tcBorders>
            <w:shd w:val="clear" w:color="auto" w:fill="auto"/>
            <w:noWrap/>
            <w:hideMark/>
          </w:tcPr>
          <w:p w14:paraId="2815D78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8FAB0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0.0901</w:t>
            </w:r>
          </w:p>
        </w:tc>
        <w:tc>
          <w:tcPr>
            <w:tcW w:w="0" w:type="auto"/>
            <w:tcBorders>
              <w:top w:val="nil"/>
              <w:left w:val="nil"/>
              <w:bottom w:val="nil"/>
              <w:right w:val="nil"/>
            </w:tcBorders>
            <w:shd w:val="clear" w:color="auto" w:fill="auto"/>
            <w:noWrap/>
            <w:vAlign w:val="center"/>
            <w:hideMark/>
          </w:tcPr>
          <w:p w14:paraId="7444E55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2024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617163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6EBC7BC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FE61A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(-3.03)</w:t>
            </w:r>
          </w:p>
        </w:tc>
        <w:tc>
          <w:tcPr>
            <w:tcW w:w="0" w:type="auto"/>
            <w:tcBorders>
              <w:top w:val="nil"/>
              <w:left w:val="nil"/>
              <w:bottom w:val="nil"/>
              <w:right w:val="nil"/>
            </w:tcBorders>
            <w:shd w:val="clear" w:color="auto" w:fill="auto"/>
            <w:noWrap/>
            <w:hideMark/>
          </w:tcPr>
          <w:p w14:paraId="49A4AE0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0.0898</w:t>
            </w:r>
          </w:p>
        </w:tc>
        <w:tc>
          <w:tcPr>
            <w:tcW w:w="0" w:type="auto"/>
            <w:tcBorders>
              <w:top w:val="nil"/>
              <w:left w:val="nil"/>
              <w:bottom w:val="nil"/>
              <w:right w:val="nil"/>
            </w:tcBorders>
            <w:shd w:val="clear" w:color="auto" w:fill="auto"/>
            <w:noWrap/>
            <w:vAlign w:val="center"/>
            <w:hideMark/>
          </w:tcPr>
          <w:p w14:paraId="4DB4FC8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49043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(-3.01)</w:t>
            </w:r>
          </w:p>
        </w:tc>
        <w:tc>
          <w:tcPr>
            <w:tcW w:w="0" w:type="auto"/>
            <w:tcBorders>
              <w:top w:val="nil"/>
              <w:left w:val="nil"/>
              <w:bottom w:val="nil"/>
              <w:right w:val="nil"/>
            </w:tcBorders>
            <w:shd w:val="clear" w:color="auto" w:fill="auto"/>
            <w:noWrap/>
            <w:hideMark/>
          </w:tcPr>
          <w:p w14:paraId="133464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5BF8335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D65C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(-3.04)</w:t>
            </w:r>
          </w:p>
        </w:tc>
      </w:tr>
      <w:tr w:rsidR="005F7C3C" w:rsidRPr="005F7C3C" w14:paraId="2838BAA5" w14:textId="77777777" w:rsidTr="005F7C3C">
        <w:trPr>
          <w:trHeight w:val="20"/>
        </w:trPr>
        <w:tc>
          <w:tcPr>
            <w:tcW w:w="0" w:type="auto"/>
            <w:tcBorders>
              <w:top w:val="nil"/>
              <w:left w:val="nil"/>
              <w:bottom w:val="nil"/>
              <w:right w:val="nil"/>
            </w:tcBorders>
            <w:shd w:val="clear" w:color="auto" w:fill="auto"/>
            <w:noWrap/>
            <w:hideMark/>
          </w:tcPr>
          <w:p w14:paraId="6B096C2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87AB2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66BCCE0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39CA5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68149B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799723F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4B23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(-0.68)</w:t>
            </w:r>
          </w:p>
        </w:tc>
        <w:tc>
          <w:tcPr>
            <w:tcW w:w="0" w:type="auto"/>
            <w:tcBorders>
              <w:top w:val="nil"/>
              <w:left w:val="nil"/>
              <w:bottom w:val="nil"/>
              <w:right w:val="nil"/>
            </w:tcBorders>
            <w:shd w:val="clear" w:color="auto" w:fill="auto"/>
            <w:noWrap/>
            <w:hideMark/>
          </w:tcPr>
          <w:p w14:paraId="7BAF191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auto" w:fill="auto"/>
            <w:noWrap/>
            <w:vAlign w:val="center"/>
            <w:hideMark/>
          </w:tcPr>
          <w:p w14:paraId="07624BD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0451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7DC4A40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D5BB9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89A2D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r>
      <w:tr w:rsidR="005F7C3C" w:rsidRPr="005F7C3C" w14:paraId="70490EFC" w14:textId="77777777" w:rsidTr="005F7C3C">
        <w:trPr>
          <w:trHeight w:val="20"/>
        </w:trPr>
        <w:tc>
          <w:tcPr>
            <w:tcW w:w="0" w:type="auto"/>
            <w:tcBorders>
              <w:top w:val="nil"/>
              <w:left w:val="nil"/>
              <w:bottom w:val="nil"/>
              <w:right w:val="nil"/>
            </w:tcBorders>
            <w:shd w:val="clear" w:color="auto" w:fill="auto"/>
            <w:noWrap/>
            <w:vAlign w:val="center"/>
            <w:hideMark/>
          </w:tcPr>
          <w:p w14:paraId="235D09AF"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43494B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DEEC1E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91BC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20F823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A7DAD3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6A089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8D96AB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77E0D0A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B1FB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74FEAD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6959404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04B96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(0.93)</w:t>
            </w:r>
          </w:p>
        </w:tc>
      </w:tr>
      <w:tr w:rsidR="005F7C3C" w:rsidRPr="005F7C3C" w14:paraId="54BBC0F0" w14:textId="77777777" w:rsidTr="005F7C3C">
        <w:trPr>
          <w:trHeight w:val="20"/>
        </w:trPr>
        <w:tc>
          <w:tcPr>
            <w:tcW w:w="0" w:type="auto"/>
            <w:tcBorders>
              <w:top w:val="nil"/>
              <w:left w:val="nil"/>
              <w:bottom w:val="nil"/>
              <w:right w:val="nil"/>
            </w:tcBorders>
            <w:shd w:val="clear" w:color="auto" w:fill="auto"/>
            <w:noWrap/>
            <w:vAlign w:val="center"/>
            <w:hideMark/>
          </w:tcPr>
          <w:p w14:paraId="3DD0DBB3"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8929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78FBE5A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60B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714845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19250E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F5C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w:t>
            </w:r>
          </w:p>
        </w:tc>
        <w:tc>
          <w:tcPr>
            <w:tcW w:w="0" w:type="auto"/>
            <w:tcBorders>
              <w:top w:val="nil"/>
              <w:left w:val="nil"/>
              <w:bottom w:val="nil"/>
              <w:right w:val="nil"/>
            </w:tcBorders>
            <w:shd w:val="clear" w:color="auto" w:fill="auto"/>
            <w:noWrap/>
            <w:hideMark/>
          </w:tcPr>
          <w:p w14:paraId="0B83546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-0.0055</w:t>
            </w:r>
          </w:p>
        </w:tc>
        <w:tc>
          <w:tcPr>
            <w:tcW w:w="0" w:type="auto"/>
            <w:tcBorders>
              <w:top w:val="nil"/>
              <w:left w:val="nil"/>
              <w:bottom w:val="nil"/>
              <w:right w:val="nil"/>
            </w:tcBorders>
            <w:shd w:val="clear" w:color="auto" w:fill="auto"/>
            <w:noWrap/>
            <w:vAlign w:val="center"/>
            <w:hideMark/>
          </w:tcPr>
          <w:p w14:paraId="4849E16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96BD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628BB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-0.0052</w:t>
            </w:r>
          </w:p>
        </w:tc>
        <w:tc>
          <w:tcPr>
            <w:tcW w:w="0" w:type="auto"/>
            <w:tcBorders>
              <w:top w:val="nil"/>
              <w:left w:val="nil"/>
              <w:bottom w:val="nil"/>
              <w:right w:val="nil"/>
            </w:tcBorders>
            <w:shd w:val="clear" w:color="auto" w:fill="auto"/>
            <w:noWrap/>
            <w:vAlign w:val="center"/>
            <w:hideMark/>
          </w:tcPr>
          <w:p w14:paraId="2490146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6CBD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(-0.95)</w:t>
            </w:r>
          </w:p>
        </w:tc>
      </w:tr>
      <w:tr w:rsidR="005F7C3C" w:rsidRPr="005F7C3C" w14:paraId="350B3EBE" w14:textId="77777777" w:rsidTr="005F7C3C">
        <w:trPr>
          <w:trHeight w:val="20"/>
        </w:trPr>
        <w:tc>
          <w:tcPr>
            <w:tcW w:w="0" w:type="auto"/>
            <w:tcBorders>
              <w:top w:val="nil"/>
              <w:left w:val="nil"/>
              <w:bottom w:val="nil"/>
              <w:right w:val="nil"/>
            </w:tcBorders>
            <w:shd w:val="clear" w:color="auto" w:fill="auto"/>
            <w:noWrap/>
            <w:vAlign w:val="center"/>
            <w:hideMark/>
          </w:tcPr>
          <w:p w14:paraId="41E59D3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20CE16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1D34028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F5299C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4EE2A78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842F66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BF2FA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(2.06)</w:t>
            </w:r>
          </w:p>
        </w:tc>
        <w:tc>
          <w:tcPr>
            <w:tcW w:w="0" w:type="auto"/>
            <w:tcBorders>
              <w:top w:val="nil"/>
              <w:left w:val="nil"/>
              <w:bottom w:val="nil"/>
              <w:right w:val="nil"/>
            </w:tcBorders>
            <w:shd w:val="clear" w:color="auto" w:fill="auto"/>
            <w:noWrap/>
            <w:hideMark/>
          </w:tcPr>
          <w:p w14:paraId="638E2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0.0081</w:t>
            </w:r>
          </w:p>
        </w:tc>
        <w:tc>
          <w:tcPr>
            <w:tcW w:w="0" w:type="auto"/>
            <w:tcBorders>
              <w:top w:val="nil"/>
              <w:left w:val="nil"/>
              <w:bottom w:val="nil"/>
              <w:right w:val="nil"/>
            </w:tcBorders>
            <w:shd w:val="clear" w:color="auto" w:fill="auto"/>
            <w:noWrap/>
            <w:vAlign w:val="center"/>
            <w:hideMark/>
          </w:tcPr>
          <w:p w14:paraId="5FF6D35A"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B170D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(2.21)</w:t>
            </w:r>
          </w:p>
        </w:tc>
        <w:tc>
          <w:tcPr>
            <w:tcW w:w="0" w:type="auto"/>
            <w:tcBorders>
              <w:top w:val="nil"/>
              <w:left w:val="nil"/>
              <w:bottom w:val="nil"/>
              <w:right w:val="nil"/>
            </w:tcBorders>
            <w:shd w:val="clear" w:color="auto" w:fill="auto"/>
            <w:noWrap/>
            <w:hideMark/>
          </w:tcPr>
          <w:p w14:paraId="5E62076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auto" w:fill="auto"/>
            <w:noWrap/>
            <w:vAlign w:val="center"/>
            <w:hideMark/>
          </w:tcPr>
          <w:p w14:paraId="71C3359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8EBB1A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(2.24)</w:t>
            </w:r>
          </w:p>
        </w:tc>
      </w:tr>
      <w:tr w:rsidR="005F7C3C" w:rsidRPr="005F7C3C" w14:paraId="1047448D" w14:textId="77777777" w:rsidTr="005F7C3C">
        <w:trPr>
          <w:trHeight w:val="20"/>
        </w:trPr>
        <w:tc>
          <w:tcPr>
            <w:tcW w:w="0" w:type="auto"/>
            <w:tcBorders>
              <w:top w:val="nil"/>
              <w:left w:val="nil"/>
              <w:bottom w:val="nil"/>
              <w:right w:val="nil"/>
            </w:tcBorders>
            <w:shd w:val="clear" w:color="auto" w:fill="auto"/>
            <w:noWrap/>
            <w:vAlign w:val="center"/>
            <w:hideMark/>
          </w:tcPr>
          <w:p w14:paraId="0B72C828"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D7564C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0.0043</w:t>
            </w:r>
          </w:p>
        </w:tc>
        <w:tc>
          <w:tcPr>
            <w:tcW w:w="0" w:type="auto"/>
            <w:tcBorders>
              <w:top w:val="nil"/>
              <w:left w:val="nil"/>
              <w:bottom w:val="nil"/>
              <w:right w:val="nil"/>
            </w:tcBorders>
            <w:shd w:val="clear" w:color="auto" w:fill="auto"/>
            <w:noWrap/>
            <w:vAlign w:val="center"/>
            <w:hideMark/>
          </w:tcPr>
          <w:p w14:paraId="2BA8BDC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542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c>
          <w:tcPr>
            <w:tcW w:w="0" w:type="auto"/>
            <w:tcBorders>
              <w:top w:val="nil"/>
              <w:left w:val="nil"/>
              <w:bottom w:val="nil"/>
              <w:right w:val="nil"/>
            </w:tcBorders>
            <w:shd w:val="clear" w:color="auto" w:fill="auto"/>
            <w:noWrap/>
            <w:hideMark/>
          </w:tcPr>
          <w:p w14:paraId="2A5CAA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012BD7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9FB63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2C2088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728727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BD52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(0.28)</w:t>
            </w:r>
          </w:p>
        </w:tc>
        <w:tc>
          <w:tcPr>
            <w:tcW w:w="0" w:type="auto"/>
            <w:tcBorders>
              <w:top w:val="nil"/>
              <w:left w:val="nil"/>
              <w:bottom w:val="nil"/>
              <w:right w:val="nil"/>
            </w:tcBorders>
            <w:shd w:val="clear" w:color="auto" w:fill="auto"/>
            <w:noWrap/>
            <w:hideMark/>
          </w:tcPr>
          <w:p w14:paraId="2B157C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724A0C6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CB0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r>
      <w:tr w:rsidR="005F7C3C" w:rsidRPr="005F7C3C" w14:paraId="4D73812D" w14:textId="77777777" w:rsidTr="005F7C3C">
        <w:trPr>
          <w:trHeight w:val="20"/>
        </w:trPr>
        <w:tc>
          <w:tcPr>
            <w:tcW w:w="0" w:type="auto"/>
            <w:tcBorders>
              <w:top w:val="nil"/>
              <w:left w:val="nil"/>
              <w:bottom w:val="nil"/>
              <w:right w:val="nil"/>
            </w:tcBorders>
            <w:shd w:val="clear" w:color="auto" w:fill="auto"/>
            <w:noWrap/>
            <w:hideMark/>
          </w:tcPr>
          <w:p w14:paraId="191D9A7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1FBB4E0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c>
          <w:tcPr>
            <w:tcW w:w="0" w:type="auto"/>
            <w:tcBorders>
              <w:top w:val="nil"/>
              <w:left w:val="nil"/>
              <w:bottom w:val="nil"/>
              <w:right w:val="nil"/>
            </w:tcBorders>
            <w:shd w:val="clear" w:color="auto" w:fill="auto"/>
            <w:noWrap/>
            <w:vAlign w:val="center"/>
            <w:hideMark/>
          </w:tcPr>
          <w:p w14:paraId="6FAE108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BBFF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(-3.71)</w:t>
            </w:r>
          </w:p>
        </w:tc>
        <w:tc>
          <w:tcPr>
            <w:tcW w:w="0" w:type="auto"/>
            <w:tcBorders>
              <w:top w:val="nil"/>
              <w:left w:val="nil"/>
              <w:bottom w:val="nil"/>
              <w:right w:val="nil"/>
            </w:tcBorders>
            <w:shd w:val="clear" w:color="auto" w:fill="auto"/>
            <w:noWrap/>
            <w:hideMark/>
          </w:tcPr>
          <w:p w14:paraId="5E38505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-0.0154</w:t>
            </w:r>
          </w:p>
        </w:tc>
        <w:tc>
          <w:tcPr>
            <w:tcW w:w="0" w:type="auto"/>
            <w:tcBorders>
              <w:top w:val="nil"/>
              <w:left w:val="nil"/>
              <w:bottom w:val="nil"/>
              <w:right w:val="nil"/>
            </w:tcBorders>
            <w:shd w:val="clear" w:color="auto" w:fill="auto"/>
            <w:noWrap/>
            <w:vAlign w:val="center"/>
            <w:hideMark/>
          </w:tcPr>
          <w:p w14:paraId="316FC76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4220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(-3.73)</w:t>
            </w:r>
          </w:p>
        </w:tc>
        <w:tc>
          <w:tcPr>
            <w:tcW w:w="0" w:type="auto"/>
            <w:tcBorders>
              <w:top w:val="nil"/>
              <w:left w:val="nil"/>
              <w:bottom w:val="nil"/>
              <w:right w:val="nil"/>
            </w:tcBorders>
            <w:shd w:val="clear" w:color="auto" w:fill="auto"/>
            <w:noWrap/>
            <w:hideMark/>
          </w:tcPr>
          <w:p w14:paraId="0BDB081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-0.0152</w:t>
            </w:r>
          </w:p>
        </w:tc>
        <w:tc>
          <w:tcPr>
            <w:tcW w:w="0" w:type="auto"/>
            <w:tcBorders>
              <w:top w:val="nil"/>
              <w:left w:val="nil"/>
              <w:bottom w:val="nil"/>
              <w:right w:val="nil"/>
            </w:tcBorders>
            <w:shd w:val="clear" w:color="auto" w:fill="auto"/>
            <w:noWrap/>
            <w:vAlign w:val="center"/>
            <w:hideMark/>
          </w:tcPr>
          <w:p w14:paraId="6CD15A7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687EB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(-3.70)</w:t>
            </w:r>
          </w:p>
        </w:tc>
        <w:tc>
          <w:tcPr>
            <w:tcW w:w="0" w:type="auto"/>
            <w:tcBorders>
              <w:top w:val="nil"/>
              <w:left w:val="nil"/>
              <w:bottom w:val="nil"/>
              <w:right w:val="nil"/>
            </w:tcBorders>
            <w:shd w:val="clear" w:color="auto" w:fill="auto"/>
            <w:noWrap/>
            <w:hideMark/>
          </w:tcPr>
          <w:p w14:paraId="17686B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-0.0155</w:t>
            </w:r>
          </w:p>
        </w:tc>
        <w:tc>
          <w:tcPr>
            <w:tcW w:w="0" w:type="auto"/>
            <w:tcBorders>
              <w:top w:val="nil"/>
              <w:left w:val="nil"/>
              <w:bottom w:val="nil"/>
              <w:right w:val="nil"/>
            </w:tcBorders>
            <w:shd w:val="clear" w:color="auto" w:fill="auto"/>
            <w:noWrap/>
            <w:vAlign w:val="center"/>
            <w:hideMark/>
          </w:tcPr>
          <w:p w14:paraId="1BFEE35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C644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(-3.77)</w:t>
            </w:r>
          </w:p>
        </w:tc>
      </w:tr>
      <w:tr w:rsidR="005F7C3C" w:rsidRPr="005F7C3C" w14:paraId="2F79DEE5" w14:textId="77777777" w:rsidTr="005F7C3C">
        <w:trPr>
          <w:trHeight w:val="20"/>
        </w:trPr>
        <w:tc>
          <w:tcPr>
            <w:tcW w:w="0" w:type="auto"/>
            <w:tcBorders>
              <w:top w:val="nil"/>
              <w:left w:val="nil"/>
              <w:bottom w:val="single" w:sz="4" w:space="0" w:color="auto"/>
              <w:right w:val="nil"/>
            </w:tcBorders>
            <w:shd w:val="clear" w:color="auto" w:fill="auto"/>
            <w:noWrap/>
            <w:vAlign w:val="center"/>
            <w:hideMark/>
          </w:tcPr>
          <w:p w14:paraId="632F804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3058F0F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5F21376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856638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single" w:sz="4" w:space="0" w:color="auto"/>
              <w:right w:val="nil"/>
            </w:tcBorders>
            <w:shd w:val="clear" w:color="auto" w:fill="auto"/>
            <w:noWrap/>
            <w:hideMark/>
          </w:tcPr>
          <w:p w14:paraId="4535CD7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single" w:sz="4" w:space="0" w:color="auto"/>
              <w:right w:val="nil"/>
            </w:tcBorders>
            <w:shd w:val="clear" w:color="auto" w:fill="auto"/>
            <w:noWrap/>
            <w:vAlign w:val="center"/>
            <w:hideMark/>
          </w:tcPr>
          <w:p w14:paraId="3C19609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349B90C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single" w:sz="4" w:space="0" w:color="auto"/>
              <w:right w:val="nil"/>
            </w:tcBorders>
            <w:shd w:val="clear" w:color="auto" w:fill="auto"/>
            <w:noWrap/>
            <w:hideMark/>
          </w:tcPr>
          <w:p w14:paraId="4F0E92F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single" w:sz="4" w:space="0" w:color="auto"/>
              <w:right w:val="nil"/>
            </w:tcBorders>
            <w:shd w:val="clear" w:color="auto" w:fill="auto"/>
            <w:noWrap/>
            <w:vAlign w:val="center"/>
            <w:hideMark/>
          </w:tcPr>
          <w:p w14:paraId="7D28D1B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201437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single" w:sz="4" w:space="0" w:color="auto"/>
              <w:right w:val="nil"/>
            </w:tcBorders>
            <w:shd w:val="clear" w:color="auto" w:fill="auto"/>
            <w:noWrap/>
            <w:hideMark/>
          </w:tcPr>
          <w:p w14:paraId="2586609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2F3415F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3C46E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r>
      <w:tr w:rsidR="005F7C3C" w:rsidRPr="005F7C3C" w14:paraId="597D6F52" w14:textId="77777777" w:rsidTr="005F7C3C">
        <w:trPr>
          <w:trHeight w:val="20"/>
        </w:trPr>
        <w:tc>
          <w:tcPr>
            <w:tcW w:w="0" w:type="auto"/>
            <w:tcBorders>
              <w:top w:val="nil"/>
              <w:left w:val="nil"/>
              <w:bottom w:val="nil"/>
              <w:right w:val="nil"/>
            </w:tcBorders>
            <w:shd w:val="clear" w:color="auto" w:fill="auto"/>
            <w:noWrap/>
            <w:hideMark/>
          </w:tcPr>
          <w:p w14:paraId="7168C72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AC82A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041CFAB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6CBF5BB"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399EF54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2357A2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9C8C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C2270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B5FFD9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C90D06A"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0A9859B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B56D1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25B429" w14:textId="77777777" w:rsidR="005F7C3C" w:rsidRPr="005F7C3C" w:rsidRDefault="005F7C3C" w:rsidP="005F7C3C">
            <w:pPr>
              <w:rPr>
                <w:rFonts w:ascii="Times New Roman" w:eastAsia="Times New Roman" w:hAnsi="Times New Roman" w:cs="Times New Roman"/>
              </w:rPr>
            </w:pPr>
          </w:p>
        </w:tc>
      </w:tr>
      <w:tr w:rsidR="005F7C3C" w:rsidRPr="005F7C3C" w14:paraId="34478241" w14:textId="77777777" w:rsidTr="005F7C3C">
        <w:trPr>
          <w:trHeight w:val="20"/>
        </w:trPr>
        <w:tc>
          <w:tcPr>
            <w:tcW w:w="0" w:type="auto"/>
            <w:tcBorders>
              <w:top w:val="nil"/>
              <w:left w:val="nil"/>
              <w:bottom w:val="nil"/>
              <w:right w:val="nil"/>
            </w:tcBorders>
            <w:shd w:val="clear" w:color="auto" w:fill="auto"/>
            <w:noWrap/>
            <w:vAlign w:val="center"/>
            <w:hideMark/>
          </w:tcPr>
          <w:p w14:paraId="3C24825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5FA83BF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3.996%</w:t>
            </w:r>
          </w:p>
        </w:tc>
        <w:tc>
          <w:tcPr>
            <w:tcW w:w="0" w:type="auto"/>
            <w:tcBorders>
              <w:top w:val="nil"/>
              <w:left w:val="nil"/>
              <w:bottom w:val="nil"/>
              <w:right w:val="nil"/>
            </w:tcBorders>
            <w:shd w:val="clear" w:color="auto" w:fill="auto"/>
            <w:noWrap/>
            <w:vAlign w:val="bottom"/>
            <w:hideMark/>
          </w:tcPr>
          <w:p w14:paraId="5412153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4C534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C772C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4.236%</w:t>
            </w:r>
          </w:p>
        </w:tc>
        <w:tc>
          <w:tcPr>
            <w:tcW w:w="0" w:type="auto"/>
            <w:tcBorders>
              <w:top w:val="nil"/>
              <w:left w:val="nil"/>
              <w:bottom w:val="nil"/>
              <w:right w:val="nil"/>
            </w:tcBorders>
            <w:shd w:val="clear" w:color="auto" w:fill="auto"/>
            <w:noWrap/>
            <w:vAlign w:val="bottom"/>
            <w:hideMark/>
          </w:tcPr>
          <w:p w14:paraId="72FAC97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A0F8611"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096F7B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4.202%</w:t>
            </w:r>
          </w:p>
        </w:tc>
        <w:tc>
          <w:tcPr>
            <w:tcW w:w="0" w:type="auto"/>
            <w:tcBorders>
              <w:top w:val="nil"/>
              <w:left w:val="nil"/>
              <w:bottom w:val="nil"/>
              <w:right w:val="nil"/>
            </w:tcBorders>
            <w:shd w:val="clear" w:color="auto" w:fill="auto"/>
            <w:noWrap/>
            <w:vAlign w:val="bottom"/>
            <w:hideMark/>
          </w:tcPr>
          <w:p w14:paraId="1AA9200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53DDD58"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161530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4.240%</w:t>
            </w:r>
          </w:p>
        </w:tc>
        <w:tc>
          <w:tcPr>
            <w:tcW w:w="0" w:type="auto"/>
            <w:tcBorders>
              <w:top w:val="nil"/>
              <w:left w:val="nil"/>
              <w:bottom w:val="nil"/>
              <w:right w:val="nil"/>
            </w:tcBorders>
            <w:shd w:val="clear" w:color="auto" w:fill="auto"/>
            <w:noWrap/>
            <w:vAlign w:val="bottom"/>
            <w:hideMark/>
          </w:tcPr>
          <w:p w14:paraId="5DBB407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3A5A212" w14:textId="77777777" w:rsidR="005F7C3C" w:rsidRPr="005F7C3C" w:rsidRDefault="005F7C3C" w:rsidP="005F7C3C">
            <w:pPr>
              <w:rPr>
                <w:rFonts w:ascii="Times New Roman" w:eastAsia="Times New Roman" w:hAnsi="Times New Roman" w:cs="Times New Roman"/>
              </w:rPr>
            </w:pPr>
          </w:p>
        </w:tc>
      </w:tr>
      <w:tr w:rsidR="005F7C3C" w:rsidRPr="005F7C3C" w14:paraId="1D7C15A4" w14:textId="77777777" w:rsidTr="005F7C3C">
        <w:trPr>
          <w:trHeight w:val="20"/>
        </w:trPr>
        <w:tc>
          <w:tcPr>
            <w:tcW w:w="0" w:type="auto"/>
            <w:tcBorders>
              <w:top w:val="nil"/>
              <w:left w:val="nil"/>
              <w:bottom w:val="single" w:sz="8" w:space="0" w:color="auto"/>
              <w:right w:val="nil"/>
            </w:tcBorders>
            <w:shd w:val="clear" w:color="auto" w:fill="auto"/>
            <w:noWrap/>
            <w:vAlign w:val="center"/>
            <w:hideMark/>
          </w:tcPr>
          <w:p w14:paraId="365CB8E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E2D4B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4AABF8D0"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275305C"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4CD095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68ED5415"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3BF89E9"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161A992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1571F0B1"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F2B7E62"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529C45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501F450D"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AA8EC3F" w14:textId="77777777" w:rsidR="005F7C3C" w:rsidRPr="005F7C3C" w:rsidRDefault="005F7C3C" w:rsidP="005F7C3C">
            <w:pPr>
              <w:rPr>
                <w:rFonts w:eastAsia="Times New Roman"/>
                <w:color w:val="000000"/>
              </w:rPr>
            </w:pPr>
            <w:r w:rsidRPr="005F7C3C">
              <w:rPr>
                <w:rFonts w:eastAsia="Times New Roman"/>
                <w:color w:val="000000"/>
              </w:rPr>
              <w:t> </w:t>
            </w:r>
          </w:p>
        </w:tc>
      </w:tr>
    </w:tbl>
    <w:p w14:paraId="0BCF9FBC" w14:textId="5E74C922"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4</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w:t>
      </w:r>
      <w:r>
        <w:rPr>
          <w:rFonts w:ascii="Times New Roman" w:eastAsia="Times New Roman" w:hAnsi="Times New Roman" w:cs="Times New Roman"/>
          <w:color w:val="000000"/>
          <w:sz w:val="20"/>
          <w:szCs w:val="20"/>
        </w:rPr>
        <w:t>dispersion</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3E7003C9" w14:textId="413E1282"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0558D4A8" w14:textId="4824541E"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6D3B5EE"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lastRenderedPageBreak/>
        <w:t>Table 5</w:t>
      </w:r>
    </w:p>
    <w:p w14:paraId="42F73C29"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Adding Six Interaction Items </w:t>
      </w:r>
    </w:p>
    <w:p w14:paraId="21CBBC6D"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p>
    <w:tbl>
      <w:tblPr>
        <w:tblW w:w="4674" w:type="pct"/>
        <w:tblLook w:val="04A0" w:firstRow="1" w:lastRow="0" w:firstColumn="1" w:lastColumn="0" w:noHBand="0" w:noVBand="1"/>
      </w:tblPr>
      <w:tblGrid>
        <w:gridCol w:w="3616"/>
        <w:gridCol w:w="1210"/>
        <w:gridCol w:w="636"/>
        <w:gridCol w:w="1083"/>
        <w:gridCol w:w="1211"/>
        <w:gridCol w:w="636"/>
        <w:gridCol w:w="955"/>
        <w:gridCol w:w="1211"/>
        <w:gridCol w:w="636"/>
        <w:gridCol w:w="1083"/>
      </w:tblGrid>
      <w:tr w:rsidR="00B9543D" w:rsidRPr="00D67E68" w14:paraId="5367A9CB" w14:textId="77777777" w:rsidTr="00613FCE">
        <w:trPr>
          <w:trHeight w:val="18"/>
        </w:trPr>
        <w:tc>
          <w:tcPr>
            <w:tcW w:w="1473" w:type="pct"/>
            <w:tcBorders>
              <w:top w:val="single" w:sz="4" w:space="0" w:color="auto"/>
              <w:left w:val="nil"/>
              <w:bottom w:val="nil"/>
              <w:right w:val="nil"/>
            </w:tcBorders>
            <w:shd w:val="clear" w:color="auto" w:fill="auto"/>
            <w:noWrap/>
            <w:vAlign w:val="bottom"/>
            <w:hideMark/>
          </w:tcPr>
          <w:p w14:paraId="200858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Dependent Variable = Change in </w:t>
            </w:r>
          </w:p>
        </w:tc>
        <w:tc>
          <w:tcPr>
            <w:tcW w:w="1192" w:type="pct"/>
            <w:gridSpan w:val="3"/>
            <w:tcBorders>
              <w:top w:val="single" w:sz="4" w:space="0" w:color="auto"/>
              <w:left w:val="nil"/>
              <w:bottom w:val="nil"/>
              <w:right w:val="nil"/>
            </w:tcBorders>
            <w:shd w:val="clear" w:color="auto" w:fill="auto"/>
            <w:noWrap/>
            <w:vAlign w:val="bottom"/>
            <w:hideMark/>
          </w:tcPr>
          <w:p w14:paraId="7B3E855D"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SPREAD</w:t>
            </w:r>
          </w:p>
        </w:tc>
        <w:tc>
          <w:tcPr>
            <w:tcW w:w="1140" w:type="pct"/>
            <w:gridSpan w:val="3"/>
            <w:tcBorders>
              <w:top w:val="single" w:sz="4" w:space="0" w:color="auto"/>
              <w:left w:val="nil"/>
              <w:bottom w:val="nil"/>
              <w:right w:val="nil"/>
            </w:tcBorders>
            <w:shd w:val="clear" w:color="auto" w:fill="auto"/>
            <w:noWrap/>
            <w:vAlign w:val="bottom"/>
            <w:hideMark/>
          </w:tcPr>
          <w:p w14:paraId="288F3A8C"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AFERROR</w:t>
            </w:r>
          </w:p>
        </w:tc>
        <w:tc>
          <w:tcPr>
            <w:tcW w:w="1194" w:type="pct"/>
            <w:gridSpan w:val="3"/>
            <w:tcBorders>
              <w:top w:val="single" w:sz="4" w:space="0" w:color="auto"/>
              <w:left w:val="nil"/>
              <w:bottom w:val="nil"/>
              <w:right w:val="nil"/>
            </w:tcBorders>
            <w:shd w:val="clear" w:color="auto" w:fill="auto"/>
            <w:noWrap/>
            <w:vAlign w:val="bottom"/>
            <w:hideMark/>
          </w:tcPr>
          <w:p w14:paraId="19C5C6C8"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AFDISP</w:t>
            </w:r>
          </w:p>
        </w:tc>
      </w:tr>
      <w:tr w:rsidR="00B9543D" w:rsidRPr="00D67E68" w14:paraId="2A121DCD" w14:textId="77777777" w:rsidTr="00613FCE">
        <w:trPr>
          <w:trHeight w:val="18"/>
        </w:trPr>
        <w:tc>
          <w:tcPr>
            <w:tcW w:w="1473" w:type="pct"/>
            <w:tcBorders>
              <w:top w:val="nil"/>
              <w:left w:val="nil"/>
              <w:bottom w:val="nil"/>
              <w:right w:val="nil"/>
            </w:tcBorders>
            <w:shd w:val="clear" w:color="auto" w:fill="auto"/>
            <w:noWrap/>
            <w:vAlign w:val="bottom"/>
            <w:hideMark/>
          </w:tcPr>
          <w:p w14:paraId="4AE9A0FE" w14:textId="77777777" w:rsidR="00B9543D" w:rsidRPr="00D67E68" w:rsidRDefault="00B9543D" w:rsidP="00613FCE">
            <w:pPr>
              <w:jc w:val="center"/>
              <w:rPr>
                <w:rFonts w:ascii="Times New Roman" w:eastAsia="Times New Roman" w:hAnsi="Times New Roman" w:cs="Times New Roman"/>
                <w:b/>
                <w:bCs/>
                <w:i/>
                <w:iCs/>
                <w:color w:val="000000"/>
                <w:sz w:val="20"/>
                <w:szCs w:val="21"/>
              </w:rPr>
            </w:pPr>
          </w:p>
        </w:tc>
        <w:tc>
          <w:tcPr>
            <w:tcW w:w="1192" w:type="pct"/>
            <w:gridSpan w:val="3"/>
            <w:tcBorders>
              <w:top w:val="nil"/>
              <w:left w:val="nil"/>
              <w:bottom w:val="single" w:sz="4" w:space="0" w:color="auto"/>
              <w:right w:val="nil"/>
            </w:tcBorders>
            <w:shd w:val="clear" w:color="auto" w:fill="auto"/>
            <w:noWrap/>
            <w:vAlign w:val="bottom"/>
            <w:hideMark/>
          </w:tcPr>
          <w:p w14:paraId="7FD21EB7"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(1)</w:t>
            </w:r>
          </w:p>
        </w:tc>
        <w:tc>
          <w:tcPr>
            <w:tcW w:w="1140" w:type="pct"/>
            <w:gridSpan w:val="3"/>
            <w:tcBorders>
              <w:top w:val="nil"/>
              <w:left w:val="nil"/>
              <w:bottom w:val="single" w:sz="4" w:space="0" w:color="auto"/>
              <w:right w:val="nil"/>
            </w:tcBorders>
            <w:shd w:val="clear" w:color="auto" w:fill="auto"/>
            <w:noWrap/>
            <w:vAlign w:val="bottom"/>
            <w:hideMark/>
          </w:tcPr>
          <w:p w14:paraId="3AF148A5"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w:t>
            </w:r>
          </w:p>
        </w:tc>
        <w:tc>
          <w:tcPr>
            <w:tcW w:w="1194" w:type="pct"/>
            <w:gridSpan w:val="3"/>
            <w:tcBorders>
              <w:top w:val="nil"/>
              <w:left w:val="nil"/>
              <w:bottom w:val="single" w:sz="4" w:space="0" w:color="auto"/>
              <w:right w:val="nil"/>
            </w:tcBorders>
            <w:shd w:val="clear" w:color="auto" w:fill="auto"/>
            <w:noWrap/>
            <w:vAlign w:val="bottom"/>
            <w:hideMark/>
          </w:tcPr>
          <w:p w14:paraId="557CA6A6"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w:t>
            </w:r>
          </w:p>
        </w:tc>
      </w:tr>
      <w:tr w:rsidR="00B9543D" w:rsidRPr="00D67E68" w14:paraId="53192950" w14:textId="77777777" w:rsidTr="00613FCE">
        <w:trPr>
          <w:trHeight w:val="18"/>
        </w:trPr>
        <w:tc>
          <w:tcPr>
            <w:tcW w:w="1473" w:type="pct"/>
            <w:tcBorders>
              <w:top w:val="nil"/>
              <w:left w:val="nil"/>
              <w:bottom w:val="single" w:sz="4" w:space="0" w:color="auto"/>
              <w:right w:val="nil"/>
            </w:tcBorders>
            <w:shd w:val="clear" w:color="auto" w:fill="auto"/>
            <w:noWrap/>
            <w:vAlign w:val="bottom"/>
            <w:hideMark/>
          </w:tcPr>
          <w:p w14:paraId="140DFFBE"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Variable</w:t>
            </w:r>
          </w:p>
        </w:tc>
        <w:tc>
          <w:tcPr>
            <w:tcW w:w="493" w:type="pct"/>
            <w:tcBorders>
              <w:top w:val="nil"/>
              <w:left w:val="nil"/>
              <w:bottom w:val="single" w:sz="4" w:space="0" w:color="auto"/>
              <w:right w:val="nil"/>
            </w:tcBorders>
            <w:shd w:val="clear" w:color="auto" w:fill="auto"/>
            <w:noWrap/>
            <w:vAlign w:val="bottom"/>
            <w:hideMark/>
          </w:tcPr>
          <w:p w14:paraId="7818CD53"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A89D6E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1" w:type="pct"/>
            <w:tcBorders>
              <w:top w:val="nil"/>
              <w:left w:val="nil"/>
              <w:bottom w:val="single" w:sz="4" w:space="0" w:color="auto"/>
              <w:right w:val="nil"/>
            </w:tcBorders>
            <w:shd w:val="clear" w:color="auto" w:fill="auto"/>
            <w:noWrap/>
            <w:vAlign w:val="bottom"/>
            <w:hideMark/>
          </w:tcPr>
          <w:p w14:paraId="4506F99F"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37A3131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06203A64"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389" w:type="pct"/>
            <w:tcBorders>
              <w:top w:val="nil"/>
              <w:left w:val="nil"/>
              <w:bottom w:val="single" w:sz="4" w:space="0" w:color="auto"/>
              <w:right w:val="nil"/>
            </w:tcBorders>
            <w:shd w:val="clear" w:color="auto" w:fill="auto"/>
            <w:noWrap/>
            <w:vAlign w:val="bottom"/>
            <w:hideMark/>
          </w:tcPr>
          <w:p w14:paraId="1D6CCA6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719E5EA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3A15F0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0" w:type="pct"/>
            <w:tcBorders>
              <w:top w:val="nil"/>
              <w:left w:val="nil"/>
              <w:bottom w:val="single" w:sz="4" w:space="0" w:color="auto"/>
              <w:right w:val="nil"/>
            </w:tcBorders>
            <w:shd w:val="clear" w:color="auto" w:fill="auto"/>
            <w:noWrap/>
            <w:vAlign w:val="bottom"/>
            <w:hideMark/>
          </w:tcPr>
          <w:p w14:paraId="40C7FBF1"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r>
      <w:tr w:rsidR="00B9543D" w:rsidRPr="00D67E68" w14:paraId="29AFDC49" w14:textId="77777777" w:rsidTr="00613FCE">
        <w:trPr>
          <w:trHeight w:val="18"/>
        </w:trPr>
        <w:tc>
          <w:tcPr>
            <w:tcW w:w="1473" w:type="pct"/>
            <w:tcBorders>
              <w:top w:val="nil"/>
              <w:left w:val="nil"/>
              <w:bottom w:val="nil"/>
              <w:right w:val="nil"/>
            </w:tcBorders>
            <w:shd w:val="clear" w:color="auto" w:fill="auto"/>
            <w:noWrap/>
            <w:vAlign w:val="bottom"/>
            <w:hideMark/>
          </w:tcPr>
          <w:p w14:paraId="0752B6F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Intercept</w:t>
            </w:r>
          </w:p>
        </w:tc>
        <w:tc>
          <w:tcPr>
            <w:tcW w:w="493" w:type="pct"/>
            <w:tcBorders>
              <w:top w:val="nil"/>
              <w:left w:val="nil"/>
              <w:bottom w:val="nil"/>
              <w:right w:val="nil"/>
            </w:tcBorders>
            <w:shd w:val="clear" w:color="auto" w:fill="auto"/>
            <w:noWrap/>
            <w:hideMark/>
          </w:tcPr>
          <w:p w14:paraId="0B41A72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70B553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74FB1B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c>
          <w:tcPr>
            <w:tcW w:w="493" w:type="pct"/>
            <w:tcBorders>
              <w:top w:val="nil"/>
              <w:left w:val="nil"/>
              <w:bottom w:val="nil"/>
              <w:right w:val="nil"/>
            </w:tcBorders>
            <w:shd w:val="clear" w:color="auto" w:fill="auto"/>
            <w:noWrap/>
            <w:hideMark/>
          </w:tcPr>
          <w:p w14:paraId="4762211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0.3489</w:t>
            </w:r>
          </w:p>
        </w:tc>
        <w:tc>
          <w:tcPr>
            <w:tcW w:w="259" w:type="pct"/>
            <w:tcBorders>
              <w:top w:val="nil"/>
              <w:left w:val="nil"/>
              <w:bottom w:val="nil"/>
              <w:right w:val="nil"/>
            </w:tcBorders>
            <w:shd w:val="clear" w:color="auto" w:fill="auto"/>
            <w:noWrap/>
            <w:vAlign w:val="center"/>
            <w:hideMark/>
          </w:tcPr>
          <w:p w14:paraId="1A9C0DDB"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FCC3B4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(4.96)</w:t>
            </w:r>
          </w:p>
        </w:tc>
        <w:tc>
          <w:tcPr>
            <w:tcW w:w="493" w:type="pct"/>
            <w:tcBorders>
              <w:top w:val="nil"/>
              <w:left w:val="nil"/>
              <w:bottom w:val="nil"/>
              <w:right w:val="nil"/>
            </w:tcBorders>
            <w:shd w:val="clear" w:color="auto" w:fill="auto"/>
            <w:noWrap/>
            <w:hideMark/>
          </w:tcPr>
          <w:p w14:paraId="090A55B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-0.0435</w:t>
            </w:r>
          </w:p>
        </w:tc>
        <w:tc>
          <w:tcPr>
            <w:tcW w:w="259" w:type="pct"/>
            <w:tcBorders>
              <w:top w:val="nil"/>
              <w:left w:val="nil"/>
              <w:bottom w:val="nil"/>
              <w:right w:val="nil"/>
            </w:tcBorders>
            <w:shd w:val="clear" w:color="auto" w:fill="auto"/>
            <w:noWrap/>
            <w:vAlign w:val="center"/>
            <w:hideMark/>
          </w:tcPr>
          <w:p w14:paraId="6C87990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2907C22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(-4.14)</w:t>
            </w:r>
          </w:p>
        </w:tc>
      </w:tr>
      <w:tr w:rsidR="00B9543D" w:rsidRPr="00D67E68" w14:paraId="7E09FC5E" w14:textId="77777777" w:rsidTr="00613FCE">
        <w:trPr>
          <w:trHeight w:val="18"/>
        </w:trPr>
        <w:tc>
          <w:tcPr>
            <w:tcW w:w="1473" w:type="pct"/>
            <w:tcBorders>
              <w:top w:val="nil"/>
              <w:left w:val="nil"/>
              <w:bottom w:val="nil"/>
              <w:right w:val="nil"/>
            </w:tcBorders>
            <w:shd w:val="clear" w:color="auto" w:fill="auto"/>
            <w:noWrap/>
            <w:hideMark/>
          </w:tcPr>
          <w:p w14:paraId="5AA2A40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w:t>
            </w:r>
          </w:p>
        </w:tc>
        <w:tc>
          <w:tcPr>
            <w:tcW w:w="493" w:type="pct"/>
            <w:tcBorders>
              <w:top w:val="nil"/>
              <w:left w:val="nil"/>
              <w:bottom w:val="nil"/>
              <w:right w:val="nil"/>
            </w:tcBorders>
            <w:shd w:val="clear" w:color="auto" w:fill="auto"/>
            <w:noWrap/>
            <w:hideMark/>
          </w:tcPr>
          <w:p w14:paraId="2C7A78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71784FE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F9DE9B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w:t>
            </w:r>
          </w:p>
        </w:tc>
        <w:tc>
          <w:tcPr>
            <w:tcW w:w="493" w:type="pct"/>
            <w:tcBorders>
              <w:top w:val="nil"/>
              <w:left w:val="nil"/>
              <w:bottom w:val="nil"/>
              <w:right w:val="nil"/>
            </w:tcBorders>
            <w:shd w:val="clear" w:color="auto" w:fill="auto"/>
            <w:noWrap/>
            <w:hideMark/>
          </w:tcPr>
          <w:p w14:paraId="581C16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0.0315</w:t>
            </w:r>
          </w:p>
        </w:tc>
        <w:tc>
          <w:tcPr>
            <w:tcW w:w="259" w:type="pct"/>
            <w:tcBorders>
              <w:top w:val="nil"/>
              <w:left w:val="nil"/>
              <w:bottom w:val="nil"/>
              <w:right w:val="nil"/>
            </w:tcBorders>
            <w:shd w:val="clear" w:color="auto" w:fill="auto"/>
            <w:noWrap/>
            <w:vAlign w:val="center"/>
            <w:hideMark/>
          </w:tcPr>
          <w:p w14:paraId="48972FF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B181B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(0.32)</w:t>
            </w:r>
          </w:p>
        </w:tc>
        <w:tc>
          <w:tcPr>
            <w:tcW w:w="493" w:type="pct"/>
            <w:tcBorders>
              <w:top w:val="nil"/>
              <w:left w:val="nil"/>
              <w:bottom w:val="nil"/>
              <w:right w:val="nil"/>
            </w:tcBorders>
            <w:shd w:val="clear" w:color="auto" w:fill="auto"/>
            <w:noWrap/>
            <w:hideMark/>
          </w:tcPr>
          <w:p w14:paraId="16DB58F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-0.0235</w:t>
            </w:r>
          </w:p>
        </w:tc>
        <w:tc>
          <w:tcPr>
            <w:tcW w:w="259" w:type="pct"/>
            <w:tcBorders>
              <w:top w:val="nil"/>
              <w:left w:val="nil"/>
              <w:bottom w:val="nil"/>
              <w:right w:val="nil"/>
            </w:tcBorders>
            <w:shd w:val="clear" w:color="auto" w:fill="auto"/>
            <w:noWrap/>
            <w:vAlign w:val="center"/>
            <w:hideMark/>
          </w:tcPr>
          <w:p w14:paraId="77F1FF2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19D792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r>
      <w:tr w:rsidR="00B9543D" w:rsidRPr="00D67E68" w14:paraId="15831FAA" w14:textId="77777777" w:rsidTr="00613FCE">
        <w:trPr>
          <w:trHeight w:val="18"/>
        </w:trPr>
        <w:tc>
          <w:tcPr>
            <w:tcW w:w="1473" w:type="pct"/>
            <w:tcBorders>
              <w:top w:val="nil"/>
              <w:left w:val="nil"/>
              <w:bottom w:val="nil"/>
              <w:right w:val="nil"/>
            </w:tcBorders>
            <w:shd w:val="clear" w:color="auto" w:fill="auto"/>
            <w:noWrap/>
            <w:hideMark/>
          </w:tcPr>
          <w:p w14:paraId="60239C9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CONSER</w:t>
            </w:r>
          </w:p>
        </w:tc>
        <w:tc>
          <w:tcPr>
            <w:tcW w:w="493" w:type="pct"/>
            <w:tcBorders>
              <w:top w:val="nil"/>
              <w:left w:val="nil"/>
              <w:bottom w:val="nil"/>
              <w:right w:val="nil"/>
            </w:tcBorders>
            <w:shd w:val="clear" w:color="auto" w:fill="auto"/>
            <w:noWrap/>
            <w:hideMark/>
          </w:tcPr>
          <w:p w14:paraId="513AD2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58A95D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47C6B8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c>
          <w:tcPr>
            <w:tcW w:w="493" w:type="pct"/>
            <w:tcBorders>
              <w:top w:val="nil"/>
              <w:left w:val="nil"/>
              <w:bottom w:val="nil"/>
              <w:right w:val="nil"/>
            </w:tcBorders>
            <w:shd w:val="clear" w:color="auto" w:fill="auto"/>
            <w:noWrap/>
            <w:hideMark/>
          </w:tcPr>
          <w:p w14:paraId="6435E92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-0.0306</w:t>
            </w:r>
          </w:p>
        </w:tc>
        <w:tc>
          <w:tcPr>
            <w:tcW w:w="259" w:type="pct"/>
            <w:tcBorders>
              <w:top w:val="nil"/>
              <w:left w:val="nil"/>
              <w:bottom w:val="nil"/>
              <w:right w:val="nil"/>
            </w:tcBorders>
            <w:shd w:val="clear" w:color="auto" w:fill="auto"/>
            <w:noWrap/>
            <w:vAlign w:val="center"/>
            <w:hideMark/>
          </w:tcPr>
          <w:p w14:paraId="033EE9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F87BC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(-1.25)</w:t>
            </w:r>
          </w:p>
        </w:tc>
        <w:tc>
          <w:tcPr>
            <w:tcW w:w="493" w:type="pct"/>
            <w:tcBorders>
              <w:top w:val="nil"/>
              <w:left w:val="nil"/>
              <w:bottom w:val="nil"/>
              <w:right w:val="nil"/>
            </w:tcBorders>
            <w:shd w:val="clear" w:color="auto" w:fill="auto"/>
            <w:noWrap/>
            <w:hideMark/>
          </w:tcPr>
          <w:p w14:paraId="3568C20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0EE8217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A57CDE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r>
      <w:tr w:rsidR="00B9543D" w:rsidRPr="00D67E68" w14:paraId="5F2E43ED" w14:textId="77777777" w:rsidTr="00613FCE">
        <w:trPr>
          <w:trHeight w:val="18"/>
        </w:trPr>
        <w:tc>
          <w:tcPr>
            <w:tcW w:w="1473" w:type="pct"/>
            <w:tcBorders>
              <w:top w:val="nil"/>
              <w:left w:val="nil"/>
              <w:bottom w:val="nil"/>
              <w:right w:val="nil"/>
            </w:tcBorders>
            <w:shd w:val="clear" w:color="auto" w:fill="auto"/>
            <w:noWrap/>
            <w:hideMark/>
          </w:tcPr>
          <w:p w14:paraId="62628343" w14:textId="77777777" w:rsidR="00B9543D" w:rsidRPr="00D67E68" w:rsidRDefault="00B9543D" w:rsidP="00613FCE">
            <w:pP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 xml:space="preserve">FWDLOOK </w:t>
            </w:r>
            <w:r w:rsidRPr="00D67E68">
              <w:rPr>
                <w:rFonts w:ascii="Times New Roman" w:eastAsia="Times New Roman" w:hAnsi="Times New Roman" w:cs="Times New Roman"/>
                <w:b/>
                <w:bCs/>
                <w:color w:val="000000"/>
                <w:sz w:val="20"/>
                <w:szCs w:val="21"/>
              </w:rPr>
              <w:t>×</w:t>
            </w:r>
            <w:r w:rsidRPr="00D67E68">
              <w:rPr>
                <w:rFonts w:ascii="Times New Roman" w:eastAsia="Times New Roman" w:hAnsi="Times New Roman" w:cs="Times New Roman"/>
                <w:b/>
                <w:bCs/>
                <w:i/>
                <w:iCs/>
                <w:color w:val="000000"/>
                <w:sz w:val="20"/>
                <w:szCs w:val="21"/>
              </w:rPr>
              <w:t xml:space="preserve"> CONSER_PCA</w:t>
            </w:r>
          </w:p>
        </w:tc>
        <w:tc>
          <w:tcPr>
            <w:tcW w:w="493" w:type="pct"/>
            <w:tcBorders>
              <w:top w:val="nil"/>
              <w:left w:val="nil"/>
              <w:bottom w:val="nil"/>
              <w:right w:val="nil"/>
            </w:tcBorders>
            <w:shd w:val="clear" w:color="auto" w:fill="auto"/>
            <w:noWrap/>
            <w:hideMark/>
          </w:tcPr>
          <w:p w14:paraId="78529E9E"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-0.0026</w:t>
            </w:r>
          </w:p>
        </w:tc>
        <w:tc>
          <w:tcPr>
            <w:tcW w:w="259" w:type="pct"/>
            <w:tcBorders>
              <w:top w:val="nil"/>
              <w:left w:val="nil"/>
              <w:bottom w:val="nil"/>
              <w:right w:val="nil"/>
            </w:tcBorders>
            <w:shd w:val="clear" w:color="auto" w:fill="auto"/>
            <w:noWrap/>
            <w:vAlign w:val="center"/>
            <w:hideMark/>
          </w:tcPr>
          <w:p w14:paraId="149C083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1" w:type="pct"/>
            <w:tcBorders>
              <w:top w:val="nil"/>
              <w:left w:val="nil"/>
              <w:bottom w:val="nil"/>
              <w:right w:val="nil"/>
            </w:tcBorders>
            <w:shd w:val="clear" w:color="auto" w:fill="auto"/>
            <w:noWrap/>
            <w:hideMark/>
          </w:tcPr>
          <w:p w14:paraId="40F3E05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(-3.01)</w:t>
            </w:r>
          </w:p>
        </w:tc>
        <w:tc>
          <w:tcPr>
            <w:tcW w:w="493" w:type="pct"/>
            <w:tcBorders>
              <w:top w:val="nil"/>
              <w:left w:val="nil"/>
              <w:bottom w:val="nil"/>
              <w:right w:val="nil"/>
            </w:tcBorders>
            <w:shd w:val="clear" w:color="auto" w:fill="auto"/>
            <w:noWrap/>
            <w:hideMark/>
          </w:tcPr>
          <w:p w14:paraId="66F2A34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-0.0733</w:t>
            </w:r>
          </w:p>
        </w:tc>
        <w:tc>
          <w:tcPr>
            <w:tcW w:w="259" w:type="pct"/>
            <w:tcBorders>
              <w:top w:val="nil"/>
              <w:left w:val="nil"/>
              <w:bottom w:val="nil"/>
              <w:right w:val="nil"/>
            </w:tcBorders>
            <w:shd w:val="clear" w:color="auto" w:fill="auto"/>
            <w:noWrap/>
            <w:vAlign w:val="center"/>
            <w:hideMark/>
          </w:tcPr>
          <w:p w14:paraId="056EB8AF"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389" w:type="pct"/>
            <w:tcBorders>
              <w:top w:val="nil"/>
              <w:left w:val="nil"/>
              <w:bottom w:val="nil"/>
              <w:right w:val="nil"/>
            </w:tcBorders>
            <w:shd w:val="clear" w:color="auto" w:fill="auto"/>
            <w:noWrap/>
            <w:hideMark/>
          </w:tcPr>
          <w:p w14:paraId="03AFB58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(-3.37)</w:t>
            </w:r>
          </w:p>
        </w:tc>
        <w:tc>
          <w:tcPr>
            <w:tcW w:w="493" w:type="pct"/>
            <w:tcBorders>
              <w:top w:val="nil"/>
              <w:left w:val="nil"/>
              <w:bottom w:val="nil"/>
              <w:right w:val="nil"/>
            </w:tcBorders>
            <w:shd w:val="clear" w:color="auto" w:fill="auto"/>
            <w:noWrap/>
            <w:hideMark/>
          </w:tcPr>
          <w:p w14:paraId="06D4502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-0.0070</w:t>
            </w:r>
          </w:p>
        </w:tc>
        <w:tc>
          <w:tcPr>
            <w:tcW w:w="259" w:type="pct"/>
            <w:tcBorders>
              <w:top w:val="nil"/>
              <w:left w:val="nil"/>
              <w:bottom w:val="nil"/>
              <w:right w:val="nil"/>
            </w:tcBorders>
            <w:shd w:val="clear" w:color="auto" w:fill="auto"/>
            <w:noWrap/>
            <w:vAlign w:val="center"/>
            <w:hideMark/>
          </w:tcPr>
          <w:p w14:paraId="1A143DB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0" w:type="pct"/>
            <w:tcBorders>
              <w:top w:val="nil"/>
              <w:left w:val="nil"/>
              <w:bottom w:val="nil"/>
              <w:right w:val="nil"/>
            </w:tcBorders>
            <w:shd w:val="clear" w:color="auto" w:fill="auto"/>
            <w:noWrap/>
            <w:hideMark/>
          </w:tcPr>
          <w:p w14:paraId="159062E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(-2.35)</w:t>
            </w:r>
          </w:p>
        </w:tc>
      </w:tr>
      <w:tr w:rsidR="00B9543D" w:rsidRPr="00D67E68" w14:paraId="44E27221" w14:textId="77777777" w:rsidTr="00613FCE">
        <w:trPr>
          <w:trHeight w:val="18"/>
        </w:trPr>
        <w:tc>
          <w:tcPr>
            <w:tcW w:w="1473" w:type="pct"/>
            <w:tcBorders>
              <w:top w:val="nil"/>
              <w:left w:val="nil"/>
              <w:bottom w:val="nil"/>
              <w:right w:val="nil"/>
            </w:tcBorders>
            <w:shd w:val="clear" w:color="auto" w:fill="auto"/>
            <w:noWrap/>
            <w:hideMark/>
          </w:tcPr>
          <w:p w14:paraId="0CF0D46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SIZE</w:t>
            </w:r>
          </w:p>
        </w:tc>
        <w:tc>
          <w:tcPr>
            <w:tcW w:w="493" w:type="pct"/>
            <w:tcBorders>
              <w:top w:val="nil"/>
              <w:left w:val="nil"/>
              <w:bottom w:val="nil"/>
              <w:right w:val="nil"/>
            </w:tcBorders>
            <w:shd w:val="clear" w:color="auto" w:fill="auto"/>
            <w:noWrap/>
            <w:hideMark/>
          </w:tcPr>
          <w:p w14:paraId="0E11768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4EFD876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F3FD97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7F85ED9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-0.1608</w:t>
            </w:r>
          </w:p>
        </w:tc>
        <w:tc>
          <w:tcPr>
            <w:tcW w:w="259" w:type="pct"/>
            <w:tcBorders>
              <w:top w:val="nil"/>
              <w:left w:val="nil"/>
              <w:bottom w:val="nil"/>
              <w:right w:val="nil"/>
            </w:tcBorders>
            <w:shd w:val="clear" w:color="auto" w:fill="auto"/>
            <w:noWrap/>
            <w:vAlign w:val="center"/>
            <w:hideMark/>
          </w:tcPr>
          <w:p w14:paraId="4FF97BF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3115D48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(-2.56)</w:t>
            </w:r>
          </w:p>
        </w:tc>
        <w:tc>
          <w:tcPr>
            <w:tcW w:w="493" w:type="pct"/>
            <w:tcBorders>
              <w:top w:val="nil"/>
              <w:left w:val="nil"/>
              <w:bottom w:val="nil"/>
              <w:right w:val="nil"/>
            </w:tcBorders>
            <w:shd w:val="clear" w:color="auto" w:fill="auto"/>
            <w:noWrap/>
            <w:hideMark/>
          </w:tcPr>
          <w:p w14:paraId="2D8612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0.0026</w:t>
            </w:r>
          </w:p>
        </w:tc>
        <w:tc>
          <w:tcPr>
            <w:tcW w:w="259" w:type="pct"/>
            <w:tcBorders>
              <w:top w:val="nil"/>
              <w:left w:val="nil"/>
              <w:bottom w:val="nil"/>
              <w:right w:val="nil"/>
            </w:tcBorders>
            <w:shd w:val="clear" w:color="auto" w:fill="auto"/>
            <w:noWrap/>
            <w:vAlign w:val="center"/>
            <w:hideMark/>
          </w:tcPr>
          <w:p w14:paraId="0B82CC8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3EDCD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(0.33)</w:t>
            </w:r>
          </w:p>
        </w:tc>
      </w:tr>
      <w:tr w:rsidR="00B9543D" w:rsidRPr="00D67E68" w14:paraId="617B31DC" w14:textId="77777777" w:rsidTr="00613FCE">
        <w:trPr>
          <w:trHeight w:val="18"/>
        </w:trPr>
        <w:tc>
          <w:tcPr>
            <w:tcW w:w="1473" w:type="pct"/>
            <w:tcBorders>
              <w:top w:val="nil"/>
              <w:left w:val="nil"/>
              <w:bottom w:val="nil"/>
              <w:right w:val="nil"/>
            </w:tcBorders>
            <w:shd w:val="clear" w:color="auto" w:fill="auto"/>
            <w:noWrap/>
            <w:hideMark/>
          </w:tcPr>
          <w:p w14:paraId="3E4136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MTB</w:t>
            </w:r>
          </w:p>
        </w:tc>
        <w:tc>
          <w:tcPr>
            <w:tcW w:w="493" w:type="pct"/>
            <w:tcBorders>
              <w:top w:val="nil"/>
              <w:left w:val="nil"/>
              <w:bottom w:val="nil"/>
              <w:right w:val="nil"/>
            </w:tcBorders>
            <w:shd w:val="clear" w:color="auto" w:fill="auto"/>
            <w:noWrap/>
            <w:hideMark/>
          </w:tcPr>
          <w:p w14:paraId="66CEF6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0.0034</w:t>
            </w:r>
          </w:p>
        </w:tc>
        <w:tc>
          <w:tcPr>
            <w:tcW w:w="259" w:type="pct"/>
            <w:tcBorders>
              <w:top w:val="nil"/>
              <w:left w:val="nil"/>
              <w:bottom w:val="nil"/>
              <w:right w:val="nil"/>
            </w:tcBorders>
            <w:shd w:val="clear" w:color="auto" w:fill="auto"/>
            <w:noWrap/>
            <w:vAlign w:val="center"/>
            <w:hideMark/>
          </w:tcPr>
          <w:p w14:paraId="2CDE399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4531A2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(1.68)</w:t>
            </w:r>
          </w:p>
        </w:tc>
        <w:tc>
          <w:tcPr>
            <w:tcW w:w="493" w:type="pct"/>
            <w:tcBorders>
              <w:top w:val="nil"/>
              <w:left w:val="nil"/>
              <w:bottom w:val="nil"/>
              <w:right w:val="nil"/>
            </w:tcBorders>
            <w:shd w:val="clear" w:color="auto" w:fill="auto"/>
            <w:noWrap/>
            <w:hideMark/>
          </w:tcPr>
          <w:p w14:paraId="631F70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-0.0316</w:t>
            </w:r>
          </w:p>
        </w:tc>
        <w:tc>
          <w:tcPr>
            <w:tcW w:w="259" w:type="pct"/>
            <w:tcBorders>
              <w:top w:val="nil"/>
              <w:left w:val="nil"/>
              <w:bottom w:val="nil"/>
              <w:right w:val="nil"/>
            </w:tcBorders>
            <w:shd w:val="clear" w:color="auto" w:fill="auto"/>
            <w:noWrap/>
            <w:vAlign w:val="center"/>
            <w:hideMark/>
          </w:tcPr>
          <w:p w14:paraId="48264E9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00A2CB0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(-0.58)</w:t>
            </w:r>
          </w:p>
        </w:tc>
        <w:tc>
          <w:tcPr>
            <w:tcW w:w="493" w:type="pct"/>
            <w:tcBorders>
              <w:top w:val="nil"/>
              <w:left w:val="nil"/>
              <w:bottom w:val="nil"/>
              <w:right w:val="nil"/>
            </w:tcBorders>
            <w:shd w:val="clear" w:color="auto" w:fill="auto"/>
            <w:noWrap/>
            <w:hideMark/>
          </w:tcPr>
          <w:p w14:paraId="0053BE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27B6C75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2A0A200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(-0.73)</w:t>
            </w:r>
          </w:p>
        </w:tc>
      </w:tr>
      <w:tr w:rsidR="00B9543D" w:rsidRPr="00D67E68" w14:paraId="54C417A3" w14:textId="77777777" w:rsidTr="00613FCE">
        <w:trPr>
          <w:trHeight w:val="18"/>
        </w:trPr>
        <w:tc>
          <w:tcPr>
            <w:tcW w:w="1473" w:type="pct"/>
            <w:tcBorders>
              <w:top w:val="nil"/>
              <w:left w:val="nil"/>
              <w:bottom w:val="nil"/>
              <w:right w:val="nil"/>
            </w:tcBorders>
            <w:shd w:val="clear" w:color="auto" w:fill="auto"/>
            <w:noWrap/>
            <w:hideMark/>
          </w:tcPr>
          <w:p w14:paraId="4E34C127"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LEV</w:t>
            </w:r>
          </w:p>
        </w:tc>
        <w:tc>
          <w:tcPr>
            <w:tcW w:w="493" w:type="pct"/>
            <w:tcBorders>
              <w:top w:val="nil"/>
              <w:left w:val="nil"/>
              <w:bottom w:val="nil"/>
              <w:right w:val="nil"/>
            </w:tcBorders>
            <w:shd w:val="clear" w:color="auto" w:fill="auto"/>
            <w:noWrap/>
            <w:hideMark/>
          </w:tcPr>
          <w:p w14:paraId="58E2D52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111806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1C97A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(-0.69)</w:t>
            </w:r>
          </w:p>
        </w:tc>
        <w:tc>
          <w:tcPr>
            <w:tcW w:w="493" w:type="pct"/>
            <w:tcBorders>
              <w:top w:val="nil"/>
              <w:left w:val="nil"/>
              <w:bottom w:val="nil"/>
              <w:right w:val="nil"/>
            </w:tcBorders>
            <w:shd w:val="clear" w:color="auto" w:fill="auto"/>
            <w:noWrap/>
            <w:hideMark/>
          </w:tcPr>
          <w:p w14:paraId="096C874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-0.0182</w:t>
            </w:r>
          </w:p>
        </w:tc>
        <w:tc>
          <w:tcPr>
            <w:tcW w:w="259" w:type="pct"/>
            <w:tcBorders>
              <w:top w:val="nil"/>
              <w:left w:val="nil"/>
              <w:bottom w:val="nil"/>
              <w:right w:val="nil"/>
            </w:tcBorders>
            <w:shd w:val="clear" w:color="auto" w:fill="auto"/>
            <w:noWrap/>
            <w:vAlign w:val="center"/>
            <w:hideMark/>
          </w:tcPr>
          <w:p w14:paraId="238E199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D78803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c>
          <w:tcPr>
            <w:tcW w:w="493" w:type="pct"/>
            <w:tcBorders>
              <w:top w:val="nil"/>
              <w:left w:val="nil"/>
              <w:bottom w:val="nil"/>
              <w:right w:val="nil"/>
            </w:tcBorders>
            <w:shd w:val="clear" w:color="auto" w:fill="auto"/>
            <w:noWrap/>
            <w:hideMark/>
          </w:tcPr>
          <w:p w14:paraId="32DA6C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-0.0023</w:t>
            </w:r>
          </w:p>
        </w:tc>
        <w:tc>
          <w:tcPr>
            <w:tcW w:w="259" w:type="pct"/>
            <w:tcBorders>
              <w:top w:val="nil"/>
              <w:left w:val="nil"/>
              <w:bottom w:val="nil"/>
              <w:right w:val="nil"/>
            </w:tcBorders>
            <w:shd w:val="clear" w:color="auto" w:fill="auto"/>
            <w:noWrap/>
            <w:vAlign w:val="center"/>
            <w:hideMark/>
          </w:tcPr>
          <w:p w14:paraId="00722A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CC401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r>
      <w:tr w:rsidR="00B9543D" w:rsidRPr="00D67E68" w14:paraId="32AD9808" w14:textId="77777777" w:rsidTr="00613FCE">
        <w:trPr>
          <w:trHeight w:val="18"/>
        </w:trPr>
        <w:tc>
          <w:tcPr>
            <w:tcW w:w="1473" w:type="pct"/>
            <w:tcBorders>
              <w:top w:val="nil"/>
              <w:left w:val="nil"/>
              <w:bottom w:val="nil"/>
              <w:right w:val="nil"/>
            </w:tcBorders>
            <w:shd w:val="clear" w:color="auto" w:fill="auto"/>
            <w:noWrap/>
            <w:hideMark/>
          </w:tcPr>
          <w:p w14:paraId="01CBA6A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FIRMAGE</w:t>
            </w:r>
          </w:p>
        </w:tc>
        <w:tc>
          <w:tcPr>
            <w:tcW w:w="493" w:type="pct"/>
            <w:tcBorders>
              <w:top w:val="nil"/>
              <w:left w:val="nil"/>
              <w:bottom w:val="nil"/>
              <w:right w:val="nil"/>
            </w:tcBorders>
            <w:shd w:val="clear" w:color="auto" w:fill="auto"/>
            <w:noWrap/>
            <w:hideMark/>
          </w:tcPr>
          <w:p w14:paraId="7CC41CD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0A945B3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87B89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364FE7C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0.0738</w:t>
            </w:r>
          </w:p>
        </w:tc>
        <w:tc>
          <w:tcPr>
            <w:tcW w:w="259" w:type="pct"/>
            <w:tcBorders>
              <w:top w:val="nil"/>
              <w:left w:val="nil"/>
              <w:bottom w:val="nil"/>
              <w:right w:val="nil"/>
            </w:tcBorders>
            <w:shd w:val="clear" w:color="auto" w:fill="auto"/>
            <w:noWrap/>
            <w:vAlign w:val="center"/>
            <w:hideMark/>
          </w:tcPr>
          <w:p w14:paraId="327C9B9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7169837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(1.60)</w:t>
            </w:r>
          </w:p>
        </w:tc>
        <w:tc>
          <w:tcPr>
            <w:tcW w:w="493" w:type="pct"/>
            <w:tcBorders>
              <w:top w:val="nil"/>
              <w:left w:val="nil"/>
              <w:bottom w:val="nil"/>
              <w:right w:val="nil"/>
            </w:tcBorders>
            <w:shd w:val="clear" w:color="auto" w:fill="auto"/>
            <w:noWrap/>
            <w:hideMark/>
          </w:tcPr>
          <w:p w14:paraId="77E61C8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-0.0097</w:t>
            </w:r>
          </w:p>
        </w:tc>
        <w:tc>
          <w:tcPr>
            <w:tcW w:w="259" w:type="pct"/>
            <w:tcBorders>
              <w:top w:val="nil"/>
              <w:left w:val="nil"/>
              <w:bottom w:val="nil"/>
              <w:right w:val="nil"/>
            </w:tcBorders>
            <w:shd w:val="clear" w:color="auto" w:fill="auto"/>
            <w:noWrap/>
            <w:vAlign w:val="center"/>
            <w:hideMark/>
          </w:tcPr>
          <w:p w14:paraId="51E0C02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388E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(-1.38)</w:t>
            </w:r>
          </w:p>
        </w:tc>
      </w:tr>
      <w:tr w:rsidR="00B9543D" w:rsidRPr="00D67E68" w14:paraId="4BC71853" w14:textId="77777777" w:rsidTr="00613FCE">
        <w:trPr>
          <w:trHeight w:val="18"/>
        </w:trPr>
        <w:tc>
          <w:tcPr>
            <w:tcW w:w="1473" w:type="pct"/>
            <w:tcBorders>
              <w:top w:val="nil"/>
              <w:left w:val="nil"/>
              <w:bottom w:val="nil"/>
              <w:right w:val="nil"/>
            </w:tcBorders>
            <w:shd w:val="clear" w:color="auto" w:fill="auto"/>
            <w:noWrap/>
            <w:hideMark/>
          </w:tcPr>
          <w:p w14:paraId="48AE3D8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INVCYC</w:t>
            </w:r>
          </w:p>
        </w:tc>
        <w:tc>
          <w:tcPr>
            <w:tcW w:w="493" w:type="pct"/>
            <w:tcBorders>
              <w:top w:val="nil"/>
              <w:left w:val="nil"/>
              <w:bottom w:val="nil"/>
              <w:right w:val="nil"/>
            </w:tcBorders>
            <w:shd w:val="clear" w:color="auto" w:fill="auto"/>
            <w:noWrap/>
            <w:hideMark/>
          </w:tcPr>
          <w:p w14:paraId="5F7C31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3A82D45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818B7D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(-0.85)</w:t>
            </w:r>
          </w:p>
        </w:tc>
        <w:tc>
          <w:tcPr>
            <w:tcW w:w="493" w:type="pct"/>
            <w:tcBorders>
              <w:top w:val="nil"/>
              <w:left w:val="nil"/>
              <w:bottom w:val="nil"/>
              <w:right w:val="nil"/>
            </w:tcBorders>
            <w:shd w:val="clear" w:color="auto" w:fill="auto"/>
            <w:noWrap/>
            <w:hideMark/>
          </w:tcPr>
          <w:p w14:paraId="775284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-0.0805</w:t>
            </w:r>
          </w:p>
        </w:tc>
        <w:tc>
          <w:tcPr>
            <w:tcW w:w="259" w:type="pct"/>
            <w:tcBorders>
              <w:top w:val="nil"/>
              <w:left w:val="nil"/>
              <w:bottom w:val="nil"/>
              <w:right w:val="nil"/>
            </w:tcBorders>
            <w:shd w:val="clear" w:color="auto" w:fill="auto"/>
            <w:noWrap/>
            <w:vAlign w:val="center"/>
            <w:hideMark/>
          </w:tcPr>
          <w:p w14:paraId="33A6C6D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025E03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(-1.64)</w:t>
            </w:r>
          </w:p>
        </w:tc>
        <w:tc>
          <w:tcPr>
            <w:tcW w:w="493" w:type="pct"/>
            <w:tcBorders>
              <w:top w:val="nil"/>
              <w:left w:val="nil"/>
              <w:bottom w:val="nil"/>
              <w:right w:val="nil"/>
            </w:tcBorders>
            <w:shd w:val="clear" w:color="auto" w:fill="auto"/>
            <w:noWrap/>
            <w:hideMark/>
          </w:tcPr>
          <w:p w14:paraId="6817A93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6EC2CFB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2A840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w:t>
            </w:r>
          </w:p>
        </w:tc>
      </w:tr>
      <w:tr w:rsidR="00B9543D" w:rsidRPr="00D67E68" w14:paraId="5CB38908" w14:textId="77777777" w:rsidTr="00613FCE">
        <w:trPr>
          <w:trHeight w:val="18"/>
        </w:trPr>
        <w:tc>
          <w:tcPr>
            <w:tcW w:w="1473" w:type="pct"/>
            <w:tcBorders>
              <w:top w:val="nil"/>
              <w:left w:val="nil"/>
              <w:bottom w:val="nil"/>
              <w:right w:val="nil"/>
            </w:tcBorders>
            <w:shd w:val="clear" w:color="auto" w:fill="auto"/>
            <w:noWrap/>
            <w:hideMark/>
          </w:tcPr>
          <w:p w14:paraId="2FFD075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AFN</w:t>
            </w:r>
          </w:p>
        </w:tc>
        <w:tc>
          <w:tcPr>
            <w:tcW w:w="493" w:type="pct"/>
            <w:tcBorders>
              <w:top w:val="nil"/>
              <w:left w:val="nil"/>
              <w:bottom w:val="nil"/>
              <w:right w:val="nil"/>
            </w:tcBorders>
            <w:shd w:val="clear" w:color="auto" w:fill="auto"/>
            <w:noWrap/>
            <w:hideMark/>
          </w:tcPr>
          <w:p w14:paraId="190E55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55FD018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630F3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(2.20)</w:t>
            </w:r>
          </w:p>
        </w:tc>
        <w:tc>
          <w:tcPr>
            <w:tcW w:w="493" w:type="pct"/>
            <w:tcBorders>
              <w:top w:val="nil"/>
              <w:left w:val="nil"/>
              <w:bottom w:val="nil"/>
              <w:right w:val="nil"/>
            </w:tcBorders>
            <w:shd w:val="clear" w:color="auto" w:fill="auto"/>
            <w:noWrap/>
            <w:hideMark/>
          </w:tcPr>
          <w:p w14:paraId="7F0BDC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-0.1107</w:t>
            </w:r>
          </w:p>
        </w:tc>
        <w:tc>
          <w:tcPr>
            <w:tcW w:w="259" w:type="pct"/>
            <w:tcBorders>
              <w:top w:val="nil"/>
              <w:left w:val="nil"/>
              <w:bottom w:val="nil"/>
              <w:right w:val="nil"/>
            </w:tcBorders>
            <w:shd w:val="clear" w:color="auto" w:fill="auto"/>
            <w:noWrap/>
            <w:vAlign w:val="center"/>
            <w:hideMark/>
          </w:tcPr>
          <w:p w14:paraId="050DE38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00DDE51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(-2.77)</w:t>
            </w:r>
          </w:p>
        </w:tc>
        <w:tc>
          <w:tcPr>
            <w:tcW w:w="493" w:type="pct"/>
            <w:tcBorders>
              <w:top w:val="nil"/>
              <w:left w:val="nil"/>
              <w:bottom w:val="nil"/>
              <w:right w:val="nil"/>
            </w:tcBorders>
            <w:shd w:val="clear" w:color="auto" w:fill="auto"/>
            <w:noWrap/>
            <w:hideMark/>
          </w:tcPr>
          <w:p w14:paraId="5BAA8EA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-0.0043</w:t>
            </w:r>
          </w:p>
        </w:tc>
        <w:tc>
          <w:tcPr>
            <w:tcW w:w="259" w:type="pct"/>
            <w:tcBorders>
              <w:top w:val="nil"/>
              <w:left w:val="nil"/>
              <w:bottom w:val="nil"/>
              <w:right w:val="nil"/>
            </w:tcBorders>
            <w:shd w:val="clear" w:color="auto" w:fill="auto"/>
            <w:noWrap/>
            <w:vAlign w:val="center"/>
            <w:hideMark/>
          </w:tcPr>
          <w:p w14:paraId="392F7AB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D832F1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(-0.86)</w:t>
            </w:r>
          </w:p>
        </w:tc>
      </w:tr>
      <w:tr w:rsidR="00B9543D" w:rsidRPr="00D67E68" w14:paraId="0CA00D55" w14:textId="77777777" w:rsidTr="00613FCE">
        <w:trPr>
          <w:trHeight w:val="18"/>
        </w:trPr>
        <w:tc>
          <w:tcPr>
            <w:tcW w:w="1473" w:type="pct"/>
            <w:tcBorders>
              <w:top w:val="nil"/>
              <w:left w:val="nil"/>
              <w:bottom w:val="nil"/>
              <w:right w:val="nil"/>
            </w:tcBorders>
            <w:shd w:val="clear" w:color="auto" w:fill="auto"/>
            <w:noWrap/>
            <w:hideMark/>
          </w:tcPr>
          <w:p w14:paraId="6E9CF0E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LITIG</w:t>
            </w:r>
          </w:p>
        </w:tc>
        <w:tc>
          <w:tcPr>
            <w:tcW w:w="493" w:type="pct"/>
            <w:tcBorders>
              <w:top w:val="nil"/>
              <w:left w:val="nil"/>
              <w:bottom w:val="nil"/>
              <w:right w:val="nil"/>
            </w:tcBorders>
            <w:shd w:val="clear" w:color="auto" w:fill="auto"/>
            <w:noWrap/>
            <w:hideMark/>
          </w:tcPr>
          <w:p w14:paraId="15D328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auto"/>
            <w:noWrap/>
            <w:vAlign w:val="center"/>
            <w:hideMark/>
          </w:tcPr>
          <w:p w14:paraId="60BC518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38FA06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(2.57)</w:t>
            </w:r>
          </w:p>
        </w:tc>
        <w:tc>
          <w:tcPr>
            <w:tcW w:w="493" w:type="pct"/>
            <w:tcBorders>
              <w:top w:val="nil"/>
              <w:left w:val="nil"/>
              <w:bottom w:val="nil"/>
              <w:right w:val="nil"/>
            </w:tcBorders>
            <w:shd w:val="clear" w:color="auto" w:fill="auto"/>
            <w:noWrap/>
            <w:hideMark/>
          </w:tcPr>
          <w:p w14:paraId="280A31E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0.1145</w:t>
            </w:r>
          </w:p>
        </w:tc>
        <w:tc>
          <w:tcPr>
            <w:tcW w:w="259" w:type="pct"/>
            <w:tcBorders>
              <w:top w:val="nil"/>
              <w:left w:val="nil"/>
              <w:bottom w:val="nil"/>
              <w:right w:val="nil"/>
            </w:tcBorders>
            <w:shd w:val="clear" w:color="auto" w:fill="auto"/>
            <w:noWrap/>
            <w:vAlign w:val="center"/>
            <w:hideMark/>
          </w:tcPr>
          <w:p w14:paraId="2A29C05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EC3A2E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(2.16)</w:t>
            </w:r>
          </w:p>
        </w:tc>
        <w:tc>
          <w:tcPr>
            <w:tcW w:w="493" w:type="pct"/>
            <w:tcBorders>
              <w:top w:val="nil"/>
              <w:left w:val="nil"/>
              <w:bottom w:val="nil"/>
              <w:right w:val="nil"/>
            </w:tcBorders>
            <w:shd w:val="clear" w:color="auto" w:fill="auto"/>
            <w:noWrap/>
            <w:hideMark/>
          </w:tcPr>
          <w:p w14:paraId="524CD8E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6929C1C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1FAC6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57B36F5D" w14:textId="77777777" w:rsidTr="00613FCE">
        <w:trPr>
          <w:trHeight w:val="18"/>
        </w:trPr>
        <w:tc>
          <w:tcPr>
            <w:tcW w:w="1473" w:type="pct"/>
            <w:tcBorders>
              <w:top w:val="nil"/>
              <w:left w:val="nil"/>
              <w:bottom w:val="nil"/>
              <w:right w:val="nil"/>
            </w:tcBorders>
            <w:shd w:val="clear" w:color="auto" w:fill="auto"/>
            <w:noWrap/>
            <w:hideMark/>
          </w:tcPr>
          <w:p w14:paraId="732C1DE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UESURP</w:t>
            </w:r>
          </w:p>
        </w:tc>
        <w:tc>
          <w:tcPr>
            <w:tcW w:w="493" w:type="pct"/>
            <w:tcBorders>
              <w:top w:val="nil"/>
              <w:left w:val="nil"/>
              <w:bottom w:val="nil"/>
              <w:right w:val="nil"/>
            </w:tcBorders>
            <w:shd w:val="clear" w:color="auto" w:fill="auto"/>
            <w:noWrap/>
            <w:hideMark/>
          </w:tcPr>
          <w:p w14:paraId="7E83A48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1B4B077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86B0E6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(0.62)</w:t>
            </w:r>
          </w:p>
        </w:tc>
        <w:tc>
          <w:tcPr>
            <w:tcW w:w="493" w:type="pct"/>
            <w:tcBorders>
              <w:top w:val="nil"/>
              <w:left w:val="nil"/>
              <w:bottom w:val="nil"/>
              <w:right w:val="nil"/>
            </w:tcBorders>
            <w:shd w:val="clear" w:color="auto" w:fill="auto"/>
            <w:noWrap/>
            <w:hideMark/>
          </w:tcPr>
          <w:p w14:paraId="2E14E7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-0.1049</w:t>
            </w:r>
          </w:p>
        </w:tc>
        <w:tc>
          <w:tcPr>
            <w:tcW w:w="259" w:type="pct"/>
            <w:tcBorders>
              <w:top w:val="nil"/>
              <w:left w:val="nil"/>
              <w:bottom w:val="nil"/>
              <w:right w:val="nil"/>
            </w:tcBorders>
            <w:shd w:val="clear" w:color="auto" w:fill="auto"/>
            <w:noWrap/>
            <w:vAlign w:val="center"/>
            <w:hideMark/>
          </w:tcPr>
          <w:p w14:paraId="7309AD2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55444C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(-3.34)</w:t>
            </w:r>
          </w:p>
        </w:tc>
        <w:tc>
          <w:tcPr>
            <w:tcW w:w="493" w:type="pct"/>
            <w:tcBorders>
              <w:top w:val="nil"/>
              <w:left w:val="nil"/>
              <w:bottom w:val="nil"/>
              <w:right w:val="nil"/>
            </w:tcBorders>
            <w:shd w:val="clear" w:color="auto" w:fill="auto"/>
            <w:noWrap/>
            <w:hideMark/>
          </w:tcPr>
          <w:p w14:paraId="383B29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0AB5C4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8FF5D8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(0.44)</w:t>
            </w:r>
          </w:p>
        </w:tc>
      </w:tr>
      <w:tr w:rsidR="00B9543D" w:rsidRPr="00D67E68" w14:paraId="0A9E23FE" w14:textId="77777777" w:rsidTr="00613FCE">
        <w:trPr>
          <w:trHeight w:val="18"/>
        </w:trPr>
        <w:tc>
          <w:tcPr>
            <w:tcW w:w="1473" w:type="pct"/>
            <w:tcBorders>
              <w:top w:val="nil"/>
              <w:left w:val="nil"/>
              <w:bottom w:val="nil"/>
              <w:right w:val="nil"/>
            </w:tcBorders>
            <w:shd w:val="clear" w:color="auto" w:fill="auto"/>
            <w:noWrap/>
            <w:hideMark/>
          </w:tcPr>
          <w:p w14:paraId="19C41788"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ΔLEPS</w:t>
            </w:r>
          </w:p>
        </w:tc>
        <w:tc>
          <w:tcPr>
            <w:tcW w:w="493" w:type="pct"/>
            <w:tcBorders>
              <w:top w:val="nil"/>
              <w:left w:val="nil"/>
              <w:bottom w:val="nil"/>
              <w:right w:val="nil"/>
            </w:tcBorders>
            <w:shd w:val="clear" w:color="auto" w:fill="auto"/>
            <w:noWrap/>
            <w:hideMark/>
          </w:tcPr>
          <w:p w14:paraId="12C780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auto"/>
            <w:noWrap/>
            <w:vAlign w:val="center"/>
            <w:hideMark/>
          </w:tcPr>
          <w:p w14:paraId="0A9D05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4F97CF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(-0.46)</w:t>
            </w:r>
          </w:p>
        </w:tc>
        <w:tc>
          <w:tcPr>
            <w:tcW w:w="493" w:type="pct"/>
            <w:tcBorders>
              <w:top w:val="nil"/>
              <w:left w:val="nil"/>
              <w:bottom w:val="nil"/>
              <w:right w:val="nil"/>
            </w:tcBorders>
            <w:shd w:val="clear" w:color="auto" w:fill="auto"/>
            <w:noWrap/>
            <w:hideMark/>
          </w:tcPr>
          <w:p w14:paraId="323AD83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-0.0313</w:t>
            </w:r>
          </w:p>
        </w:tc>
        <w:tc>
          <w:tcPr>
            <w:tcW w:w="259" w:type="pct"/>
            <w:tcBorders>
              <w:top w:val="nil"/>
              <w:left w:val="nil"/>
              <w:bottom w:val="nil"/>
              <w:right w:val="nil"/>
            </w:tcBorders>
            <w:shd w:val="clear" w:color="auto" w:fill="auto"/>
            <w:noWrap/>
            <w:vAlign w:val="center"/>
            <w:hideMark/>
          </w:tcPr>
          <w:p w14:paraId="16862F7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4D8C95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(-0.93)</w:t>
            </w:r>
          </w:p>
        </w:tc>
        <w:tc>
          <w:tcPr>
            <w:tcW w:w="493" w:type="pct"/>
            <w:tcBorders>
              <w:top w:val="nil"/>
              <w:left w:val="nil"/>
              <w:bottom w:val="nil"/>
              <w:right w:val="nil"/>
            </w:tcBorders>
            <w:shd w:val="clear" w:color="auto" w:fill="auto"/>
            <w:noWrap/>
            <w:hideMark/>
          </w:tcPr>
          <w:p w14:paraId="7BB1F7C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757ABAC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05CFE8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(0.50)</w:t>
            </w:r>
          </w:p>
        </w:tc>
      </w:tr>
      <w:tr w:rsidR="00B9543D" w:rsidRPr="00D67E68" w14:paraId="5197D700" w14:textId="77777777" w:rsidTr="00613FCE">
        <w:trPr>
          <w:trHeight w:val="18"/>
        </w:trPr>
        <w:tc>
          <w:tcPr>
            <w:tcW w:w="1473" w:type="pct"/>
            <w:tcBorders>
              <w:top w:val="nil"/>
              <w:left w:val="nil"/>
              <w:bottom w:val="nil"/>
              <w:right w:val="nil"/>
            </w:tcBorders>
            <w:shd w:val="clear" w:color="auto" w:fill="auto"/>
            <w:noWrap/>
            <w:hideMark/>
          </w:tcPr>
          <w:p w14:paraId="6FD786A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4thQTR</w:t>
            </w:r>
          </w:p>
        </w:tc>
        <w:tc>
          <w:tcPr>
            <w:tcW w:w="493" w:type="pct"/>
            <w:tcBorders>
              <w:top w:val="nil"/>
              <w:left w:val="nil"/>
              <w:bottom w:val="nil"/>
              <w:right w:val="nil"/>
            </w:tcBorders>
            <w:shd w:val="clear" w:color="auto" w:fill="auto"/>
            <w:noWrap/>
            <w:hideMark/>
          </w:tcPr>
          <w:p w14:paraId="3A5603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-0.0037</w:t>
            </w:r>
          </w:p>
        </w:tc>
        <w:tc>
          <w:tcPr>
            <w:tcW w:w="259" w:type="pct"/>
            <w:tcBorders>
              <w:top w:val="nil"/>
              <w:left w:val="nil"/>
              <w:bottom w:val="nil"/>
              <w:right w:val="nil"/>
            </w:tcBorders>
            <w:shd w:val="clear" w:color="auto" w:fill="auto"/>
            <w:noWrap/>
            <w:vAlign w:val="center"/>
            <w:hideMark/>
          </w:tcPr>
          <w:p w14:paraId="10C6FD7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CF6DB4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(-3.13)</w:t>
            </w:r>
          </w:p>
        </w:tc>
        <w:tc>
          <w:tcPr>
            <w:tcW w:w="493" w:type="pct"/>
            <w:tcBorders>
              <w:top w:val="nil"/>
              <w:left w:val="nil"/>
              <w:bottom w:val="nil"/>
              <w:right w:val="nil"/>
            </w:tcBorders>
            <w:shd w:val="clear" w:color="auto" w:fill="auto"/>
            <w:noWrap/>
            <w:hideMark/>
          </w:tcPr>
          <w:p w14:paraId="654728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-0.7642</w:t>
            </w:r>
          </w:p>
        </w:tc>
        <w:tc>
          <w:tcPr>
            <w:tcW w:w="259" w:type="pct"/>
            <w:tcBorders>
              <w:top w:val="nil"/>
              <w:left w:val="nil"/>
              <w:bottom w:val="nil"/>
              <w:right w:val="nil"/>
            </w:tcBorders>
            <w:shd w:val="clear" w:color="auto" w:fill="auto"/>
            <w:noWrap/>
            <w:vAlign w:val="center"/>
            <w:hideMark/>
          </w:tcPr>
          <w:p w14:paraId="75DE44E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B0749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(-3.09)</w:t>
            </w:r>
          </w:p>
        </w:tc>
        <w:tc>
          <w:tcPr>
            <w:tcW w:w="493" w:type="pct"/>
            <w:tcBorders>
              <w:top w:val="nil"/>
              <w:left w:val="nil"/>
              <w:bottom w:val="nil"/>
              <w:right w:val="nil"/>
            </w:tcBorders>
            <w:shd w:val="clear" w:color="auto" w:fill="auto"/>
            <w:noWrap/>
            <w:hideMark/>
          </w:tcPr>
          <w:p w14:paraId="11A855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-0.0898</w:t>
            </w:r>
          </w:p>
        </w:tc>
        <w:tc>
          <w:tcPr>
            <w:tcW w:w="259" w:type="pct"/>
            <w:tcBorders>
              <w:top w:val="nil"/>
              <w:left w:val="nil"/>
              <w:bottom w:val="nil"/>
              <w:right w:val="nil"/>
            </w:tcBorders>
            <w:shd w:val="clear" w:color="auto" w:fill="auto"/>
            <w:noWrap/>
            <w:vAlign w:val="center"/>
            <w:hideMark/>
          </w:tcPr>
          <w:p w14:paraId="01E344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6CF16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(-13.03)</w:t>
            </w:r>
          </w:p>
        </w:tc>
      </w:tr>
      <w:tr w:rsidR="00B9543D" w:rsidRPr="00D67E68" w14:paraId="180FC4A1" w14:textId="77777777" w:rsidTr="00613FCE">
        <w:trPr>
          <w:trHeight w:val="18"/>
        </w:trPr>
        <w:tc>
          <w:tcPr>
            <w:tcW w:w="1473" w:type="pct"/>
            <w:tcBorders>
              <w:top w:val="nil"/>
              <w:left w:val="nil"/>
              <w:bottom w:val="nil"/>
              <w:right w:val="nil"/>
            </w:tcBorders>
            <w:shd w:val="clear" w:color="auto" w:fill="auto"/>
            <w:noWrap/>
            <w:hideMark/>
          </w:tcPr>
          <w:p w14:paraId="492006F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CAR</w:t>
            </w:r>
          </w:p>
        </w:tc>
        <w:tc>
          <w:tcPr>
            <w:tcW w:w="493" w:type="pct"/>
            <w:tcBorders>
              <w:top w:val="nil"/>
              <w:left w:val="nil"/>
              <w:bottom w:val="nil"/>
              <w:right w:val="nil"/>
            </w:tcBorders>
            <w:shd w:val="clear" w:color="auto" w:fill="auto"/>
            <w:noWrap/>
            <w:hideMark/>
          </w:tcPr>
          <w:p w14:paraId="6CB7F27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-0.0124</w:t>
            </w:r>
          </w:p>
        </w:tc>
        <w:tc>
          <w:tcPr>
            <w:tcW w:w="259" w:type="pct"/>
            <w:tcBorders>
              <w:top w:val="nil"/>
              <w:left w:val="nil"/>
              <w:bottom w:val="nil"/>
              <w:right w:val="nil"/>
            </w:tcBorders>
            <w:shd w:val="clear" w:color="auto" w:fill="auto"/>
            <w:noWrap/>
            <w:vAlign w:val="center"/>
            <w:hideMark/>
          </w:tcPr>
          <w:p w14:paraId="67DDBD0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40A9DB3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(-12.08)</w:t>
            </w:r>
          </w:p>
        </w:tc>
        <w:tc>
          <w:tcPr>
            <w:tcW w:w="493" w:type="pct"/>
            <w:tcBorders>
              <w:top w:val="nil"/>
              <w:left w:val="nil"/>
              <w:bottom w:val="nil"/>
              <w:right w:val="nil"/>
            </w:tcBorders>
            <w:shd w:val="clear" w:color="auto" w:fill="auto"/>
            <w:noWrap/>
            <w:hideMark/>
          </w:tcPr>
          <w:p w14:paraId="4F4B71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-0.0475</w:t>
            </w:r>
          </w:p>
        </w:tc>
        <w:tc>
          <w:tcPr>
            <w:tcW w:w="259" w:type="pct"/>
            <w:tcBorders>
              <w:top w:val="nil"/>
              <w:left w:val="nil"/>
              <w:bottom w:val="nil"/>
              <w:right w:val="nil"/>
            </w:tcBorders>
            <w:shd w:val="clear" w:color="auto" w:fill="auto"/>
            <w:noWrap/>
            <w:vAlign w:val="center"/>
            <w:hideMark/>
          </w:tcPr>
          <w:p w14:paraId="1C4A142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0F4A5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c>
          <w:tcPr>
            <w:tcW w:w="493" w:type="pct"/>
            <w:tcBorders>
              <w:top w:val="nil"/>
              <w:left w:val="nil"/>
              <w:bottom w:val="nil"/>
              <w:right w:val="nil"/>
            </w:tcBorders>
            <w:shd w:val="clear" w:color="auto" w:fill="auto"/>
            <w:noWrap/>
            <w:hideMark/>
          </w:tcPr>
          <w:p w14:paraId="24862D2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-0.0021</w:t>
            </w:r>
          </w:p>
        </w:tc>
        <w:tc>
          <w:tcPr>
            <w:tcW w:w="259" w:type="pct"/>
            <w:tcBorders>
              <w:top w:val="nil"/>
              <w:left w:val="nil"/>
              <w:bottom w:val="nil"/>
              <w:right w:val="nil"/>
            </w:tcBorders>
            <w:shd w:val="clear" w:color="auto" w:fill="auto"/>
            <w:noWrap/>
            <w:vAlign w:val="center"/>
            <w:hideMark/>
          </w:tcPr>
          <w:p w14:paraId="4A7E280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4D345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r>
      <w:tr w:rsidR="00B9543D" w:rsidRPr="00D67E68" w14:paraId="0135E085" w14:textId="77777777" w:rsidTr="00613FCE">
        <w:trPr>
          <w:trHeight w:val="18"/>
        </w:trPr>
        <w:tc>
          <w:tcPr>
            <w:tcW w:w="1473" w:type="pct"/>
            <w:tcBorders>
              <w:top w:val="nil"/>
              <w:left w:val="nil"/>
              <w:bottom w:val="nil"/>
              <w:right w:val="nil"/>
            </w:tcBorders>
            <w:shd w:val="clear" w:color="auto" w:fill="auto"/>
            <w:noWrap/>
            <w:vAlign w:val="center"/>
            <w:hideMark/>
          </w:tcPr>
          <w:p w14:paraId="2FF70C7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POSTONE(Present)</w:t>
            </w:r>
          </w:p>
        </w:tc>
        <w:tc>
          <w:tcPr>
            <w:tcW w:w="493" w:type="pct"/>
            <w:tcBorders>
              <w:top w:val="nil"/>
              <w:left w:val="nil"/>
              <w:bottom w:val="nil"/>
              <w:right w:val="nil"/>
            </w:tcBorders>
            <w:shd w:val="clear" w:color="auto" w:fill="auto"/>
            <w:noWrap/>
            <w:hideMark/>
          </w:tcPr>
          <w:p w14:paraId="33A5D8A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auto"/>
            <w:noWrap/>
            <w:vAlign w:val="center"/>
            <w:hideMark/>
          </w:tcPr>
          <w:p w14:paraId="7C74FA3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EB12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(1.40)</w:t>
            </w:r>
          </w:p>
        </w:tc>
        <w:tc>
          <w:tcPr>
            <w:tcW w:w="493" w:type="pct"/>
            <w:tcBorders>
              <w:top w:val="nil"/>
              <w:left w:val="nil"/>
              <w:bottom w:val="nil"/>
              <w:right w:val="nil"/>
            </w:tcBorders>
            <w:shd w:val="clear" w:color="auto" w:fill="auto"/>
            <w:noWrap/>
            <w:hideMark/>
          </w:tcPr>
          <w:p w14:paraId="5D48AA7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-0.0274</w:t>
            </w:r>
          </w:p>
        </w:tc>
        <w:tc>
          <w:tcPr>
            <w:tcW w:w="259" w:type="pct"/>
            <w:tcBorders>
              <w:top w:val="nil"/>
              <w:left w:val="nil"/>
              <w:bottom w:val="nil"/>
              <w:right w:val="nil"/>
            </w:tcBorders>
            <w:shd w:val="clear" w:color="auto" w:fill="auto"/>
            <w:noWrap/>
            <w:vAlign w:val="center"/>
            <w:hideMark/>
          </w:tcPr>
          <w:p w14:paraId="47C1670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19B88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(-1.12)</w:t>
            </w:r>
          </w:p>
        </w:tc>
        <w:tc>
          <w:tcPr>
            <w:tcW w:w="493" w:type="pct"/>
            <w:tcBorders>
              <w:top w:val="nil"/>
              <w:left w:val="nil"/>
              <w:bottom w:val="nil"/>
              <w:right w:val="nil"/>
            </w:tcBorders>
            <w:shd w:val="clear" w:color="auto" w:fill="auto"/>
            <w:noWrap/>
            <w:hideMark/>
          </w:tcPr>
          <w:p w14:paraId="26D5950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0.0030</w:t>
            </w:r>
          </w:p>
        </w:tc>
        <w:tc>
          <w:tcPr>
            <w:tcW w:w="259" w:type="pct"/>
            <w:tcBorders>
              <w:top w:val="nil"/>
              <w:left w:val="nil"/>
              <w:bottom w:val="nil"/>
              <w:right w:val="nil"/>
            </w:tcBorders>
            <w:shd w:val="clear" w:color="auto" w:fill="auto"/>
            <w:noWrap/>
            <w:vAlign w:val="center"/>
            <w:hideMark/>
          </w:tcPr>
          <w:p w14:paraId="6AC40AA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DD8CC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(0.87)</w:t>
            </w:r>
          </w:p>
        </w:tc>
      </w:tr>
      <w:tr w:rsidR="00B9543D" w:rsidRPr="00D67E68" w14:paraId="722CCA1E" w14:textId="77777777" w:rsidTr="00613FCE">
        <w:trPr>
          <w:trHeight w:val="18"/>
        </w:trPr>
        <w:tc>
          <w:tcPr>
            <w:tcW w:w="1473" w:type="pct"/>
            <w:tcBorders>
              <w:top w:val="nil"/>
              <w:left w:val="nil"/>
              <w:bottom w:val="nil"/>
              <w:right w:val="nil"/>
            </w:tcBorders>
            <w:shd w:val="clear" w:color="auto" w:fill="auto"/>
            <w:noWrap/>
            <w:vAlign w:val="center"/>
            <w:hideMark/>
          </w:tcPr>
          <w:p w14:paraId="0AF2EE2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POSTONE(Response)</w:t>
            </w:r>
          </w:p>
        </w:tc>
        <w:tc>
          <w:tcPr>
            <w:tcW w:w="493" w:type="pct"/>
            <w:tcBorders>
              <w:top w:val="nil"/>
              <w:left w:val="nil"/>
              <w:bottom w:val="nil"/>
              <w:right w:val="nil"/>
            </w:tcBorders>
            <w:shd w:val="clear" w:color="auto" w:fill="auto"/>
            <w:noWrap/>
            <w:hideMark/>
          </w:tcPr>
          <w:p w14:paraId="24A77C4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4858806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064303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(0.78)</w:t>
            </w:r>
          </w:p>
        </w:tc>
        <w:tc>
          <w:tcPr>
            <w:tcW w:w="493" w:type="pct"/>
            <w:tcBorders>
              <w:top w:val="nil"/>
              <w:left w:val="nil"/>
              <w:bottom w:val="nil"/>
              <w:right w:val="nil"/>
            </w:tcBorders>
            <w:shd w:val="clear" w:color="auto" w:fill="auto"/>
            <w:noWrap/>
            <w:hideMark/>
          </w:tcPr>
          <w:p w14:paraId="53ED85E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-0.0006</w:t>
            </w:r>
          </w:p>
        </w:tc>
        <w:tc>
          <w:tcPr>
            <w:tcW w:w="259" w:type="pct"/>
            <w:tcBorders>
              <w:top w:val="nil"/>
              <w:left w:val="nil"/>
              <w:bottom w:val="nil"/>
              <w:right w:val="nil"/>
            </w:tcBorders>
            <w:shd w:val="clear" w:color="auto" w:fill="auto"/>
            <w:noWrap/>
            <w:vAlign w:val="center"/>
            <w:hideMark/>
          </w:tcPr>
          <w:p w14:paraId="5A37DFA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C8B6A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auto"/>
            <w:noWrap/>
            <w:hideMark/>
          </w:tcPr>
          <w:p w14:paraId="7B8CF4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-0.0055</w:t>
            </w:r>
          </w:p>
        </w:tc>
        <w:tc>
          <w:tcPr>
            <w:tcW w:w="259" w:type="pct"/>
            <w:tcBorders>
              <w:top w:val="nil"/>
              <w:left w:val="nil"/>
              <w:bottom w:val="nil"/>
              <w:right w:val="nil"/>
            </w:tcBorders>
            <w:shd w:val="clear" w:color="auto" w:fill="auto"/>
            <w:noWrap/>
            <w:vAlign w:val="center"/>
            <w:hideMark/>
          </w:tcPr>
          <w:p w14:paraId="6982CA1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98F86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(-1.00)</w:t>
            </w:r>
          </w:p>
        </w:tc>
      </w:tr>
      <w:tr w:rsidR="00B9543D" w:rsidRPr="00D67E68" w14:paraId="09FDF51F" w14:textId="77777777" w:rsidTr="00613FCE">
        <w:trPr>
          <w:trHeight w:val="18"/>
        </w:trPr>
        <w:tc>
          <w:tcPr>
            <w:tcW w:w="1473" w:type="pct"/>
            <w:tcBorders>
              <w:top w:val="nil"/>
              <w:left w:val="nil"/>
              <w:bottom w:val="nil"/>
              <w:right w:val="nil"/>
            </w:tcBorders>
            <w:shd w:val="clear" w:color="auto" w:fill="auto"/>
            <w:noWrap/>
            <w:vAlign w:val="center"/>
            <w:hideMark/>
          </w:tcPr>
          <w:p w14:paraId="3B52D5D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NEGTONE(Present)</w:t>
            </w:r>
          </w:p>
        </w:tc>
        <w:tc>
          <w:tcPr>
            <w:tcW w:w="493" w:type="pct"/>
            <w:tcBorders>
              <w:top w:val="nil"/>
              <w:left w:val="nil"/>
              <w:bottom w:val="nil"/>
              <w:right w:val="nil"/>
            </w:tcBorders>
            <w:shd w:val="clear" w:color="auto" w:fill="auto"/>
            <w:noWrap/>
            <w:hideMark/>
          </w:tcPr>
          <w:p w14:paraId="73E34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auto"/>
            <w:noWrap/>
            <w:vAlign w:val="center"/>
            <w:hideMark/>
          </w:tcPr>
          <w:p w14:paraId="713E508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EA55C9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(1.09)</w:t>
            </w:r>
          </w:p>
        </w:tc>
        <w:tc>
          <w:tcPr>
            <w:tcW w:w="493" w:type="pct"/>
            <w:tcBorders>
              <w:top w:val="nil"/>
              <w:left w:val="nil"/>
              <w:bottom w:val="nil"/>
              <w:right w:val="nil"/>
            </w:tcBorders>
            <w:shd w:val="clear" w:color="auto" w:fill="auto"/>
            <w:noWrap/>
            <w:hideMark/>
          </w:tcPr>
          <w:p w14:paraId="28DDA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AC9F56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0D9194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w:t>
            </w:r>
          </w:p>
        </w:tc>
        <w:tc>
          <w:tcPr>
            <w:tcW w:w="493" w:type="pct"/>
            <w:tcBorders>
              <w:top w:val="nil"/>
              <w:left w:val="nil"/>
              <w:bottom w:val="nil"/>
              <w:right w:val="nil"/>
            </w:tcBorders>
            <w:shd w:val="clear" w:color="auto" w:fill="auto"/>
            <w:noWrap/>
            <w:hideMark/>
          </w:tcPr>
          <w:p w14:paraId="73ABD2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0.0080</w:t>
            </w:r>
          </w:p>
        </w:tc>
        <w:tc>
          <w:tcPr>
            <w:tcW w:w="259" w:type="pct"/>
            <w:tcBorders>
              <w:top w:val="nil"/>
              <w:left w:val="nil"/>
              <w:bottom w:val="nil"/>
              <w:right w:val="nil"/>
            </w:tcBorders>
            <w:shd w:val="clear" w:color="auto" w:fill="auto"/>
            <w:noWrap/>
            <w:vAlign w:val="center"/>
            <w:hideMark/>
          </w:tcPr>
          <w:p w14:paraId="21B0749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975DF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r>
      <w:tr w:rsidR="00B9543D" w:rsidRPr="00D67E68" w14:paraId="138F9552" w14:textId="77777777" w:rsidTr="00613FCE">
        <w:trPr>
          <w:trHeight w:val="18"/>
        </w:trPr>
        <w:tc>
          <w:tcPr>
            <w:tcW w:w="1473" w:type="pct"/>
            <w:tcBorders>
              <w:top w:val="nil"/>
              <w:left w:val="nil"/>
              <w:bottom w:val="nil"/>
              <w:right w:val="nil"/>
            </w:tcBorders>
            <w:shd w:val="clear" w:color="auto" w:fill="auto"/>
            <w:noWrap/>
            <w:vAlign w:val="center"/>
            <w:hideMark/>
          </w:tcPr>
          <w:p w14:paraId="6EB14A9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NEGTONE(Response)</w:t>
            </w:r>
          </w:p>
        </w:tc>
        <w:tc>
          <w:tcPr>
            <w:tcW w:w="493" w:type="pct"/>
            <w:tcBorders>
              <w:top w:val="nil"/>
              <w:left w:val="nil"/>
              <w:bottom w:val="nil"/>
              <w:right w:val="nil"/>
            </w:tcBorders>
            <w:shd w:val="clear" w:color="auto" w:fill="auto"/>
            <w:noWrap/>
            <w:hideMark/>
          </w:tcPr>
          <w:p w14:paraId="2287D37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0.0011</w:t>
            </w:r>
          </w:p>
        </w:tc>
        <w:tc>
          <w:tcPr>
            <w:tcW w:w="259" w:type="pct"/>
            <w:tcBorders>
              <w:top w:val="nil"/>
              <w:left w:val="nil"/>
              <w:bottom w:val="nil"/>
              <w:right w:val="nil"/>
            </w:tcBorders>
            <w:shd w:val="clear" w:color="auto" w:fill="auto"/>
            <w:noWrap/>
            <w:vAlign w:val="center"/>
            <w:hideMark/>
          </w:tcPr>
          <w:p w14:paraId="4FC7FD5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64F5B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6D6FAC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703809E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0DFBC8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(0.06)</w:t>
            </w:r>
          </w:p>
        </w:tc>
        <w:tc>
          <w:tcPr>
            <w:tcW w:w="493" w:type="pct"/>
            <w:tcBorders>
              <w:top w:val="nil"/>
              <w:left w:val="nil"/>
              <w:bottom w:val="nil"/>
              <w:right w:val="nil"/>
            </w:tcBorders>
            <w:shd w:val="clear" w:color="auto" w:fill="auto"/>
            <w:noWrap/>
            <w:hideMark/>
          </w:tcPr>
          <w:p w14:paraId="124F6A8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0BB6390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8B56FD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(0.57)</w:t>
            </w:r>
          </w:p>
        </w:tc>
      </w:tr>
      <w:tr w:rsidR="00B9543D" w:rsidRPr="00D67E68" w14:paraId="71CC9E60" w14:textId="77777777" w:rsidTr="00613FCE">
        <w:trPr>
          <w:trHeight w:val="18"/>
        </w:trPr>
        <w:tc>
          <w:tcPr>
            <w:tcW w:w="1473" w:type="pct"/>
            <w:tcBorders>
              <w:top w:val="nil"/>
              <w:left w:val="nil"/>
              <w:bottom w:val="nil"/>
              <w:right w:val="nil"/>
            </w:tcBorders>
            <w:shd w:val="clear" w:color="auto" w:fill="auto"/>
            <w:noWrap/>
            <w:hideMark/>
          </w:tcPr>
          <w:p w14:paraId="06602FF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GUIDANCE</w:t>
            </w:r>
          </w:p>
        </w:tc>
        <w:tc>
          <w:tcPr>
            <w:tcW w:w="493" w:type="pct"/>
            <w:tcBorders>
              <w:top w:val="nil"/>
              <w:left w:val="nil"/>
              <w:bottom w:val="nil"/>
              <w:right w:val="nil"/>
            </w:tcBorders>
            <w:shd w:val="clear" w:color="auto" w:fill="auto"/>
            <w:noWrap/>
            <w:hideMark/>
          </w:tcPr>
          <w:p w14:paraId="331C4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5F4A227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3A18E2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w:t>
            </w:r>
          </w:p>
        </w:tc>
        <w:tc>
          <w:tcPr>
            <w:tcW w:w="493" w:type="pct"/>
            <w:tcBorders>
              <w:top w:val="nil"/>
              <w:left w:val="nil"/>
              <w:bottom w:val="nil"/>
              <w:right w:val="nil"/>
            </w:tcBorders>
            <w:shd w:val="clear" w:color="auto" w:fill="auto"/>
            <w:noWrap/>
            <w:hideMark/>
          </w:tcPr>
          <w:p w14:paraId="67C0EB4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-0.0849</w:t>
            </w:r>
          </w:p>
        </w:tc>
        <w:tc>
          <w:tcPr>
            <w:tcW w:w="259" w:type="pct"/>
            <w:tcBorders>
              <w:top w:val="nil"/>
              <w:left w:val="nil"/>
              <w:bottom w:val="nil"/>
              <w:right w:val="nil"/>
            </w:tcBorders>
            <w:shd w:val="clear" w:color="auto" w:fill="auto"/>
            <w:noWrap/>
            <w:vAlign w:val="center"/>
            <w:hideMark/>
          </w:tcPr>
          <w:p w14:paraId="6F0F97E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4442615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419D0EE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-0.0155</w:t>
            </w:r>
          </w:p>
        </w:tc>
        <w:tc>
          <w:tcPr>
            <w:tcW w:w="259" w:type="pct"/>
            <w:tcBorders>
              <w:top w:val="nil"/>
              <w:left w:val="nil"/>
              <w:bottom w:val="nil"/>
              <w:right w:val="nil"/>
            </w:tcBorders>
            <w:shd w:val="clear" w:color="auto" w:fill="auto"/>
            <w:noWrap/>
            <w:vAlign w:val="center"/>
            <w:hideMark/>
          </w:tcPr>
          <w:p w14:paraId="4151E55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7DD865F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(-3.77)</w:t>
            </w:r>
          </w:p>
        </w:tc>
      </w:tr>
      <w:tr w:rsidR="00B9543D" w:rsidRPr="00D67E68" w14:paraId="28BAC908" w14:textId="77777777" w:rsidTr="00613FCE">
        <w:trPr>
          <w:trHeight w:val="18"/>
        </w:trPr>
        <w:tc>
          <w:tcPr>
            <w:tcW w:w="1473" w:type="pct"/>
            <w:tcBorders>
              <w:top w:val="nil"/>
              <w:left w:val="nil"/>
              <w:bottom w:val="nil"/>
              <w:right w:val="nil"/>
            </w:tcBorders>
            <w:shd w:val="clear" w:color="auto" w:fill="auto"/>
            <w:noWrap/>
            <w:vAlign w:val="center"/>
            <w:hideMark/>
          </w:tcPr>
          <w:p w14:paraId="51E4CD92"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RESPONSIVE</w:t>
            </w:r>
          </w:p>
        </w:tc>
        <w:tc>
          <w:tcPr>
            <w:tcW w:w="493" w:type="pct"/>
            <w:tcBorders>
              <w:top w:val="nil"/>
              <w:left w:val="nil"/>
              <w:bottom w:val="nil"/>
              <w:right w:val="nil"/>
            </w:tcBorders>
            <w:shd w:val="clear" w:color="auto" w:fill="auto"/>
            <w:noWrap/>
            <w:hideMark/>
          </w:tcPr>
          <w:p w14:paraId="51AF4E4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4D59E2E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0C61FF0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(-2.26)</w:t>
            </w:r>
          </w:p>
        </w:tc>
        <w:tc>
          <w:tcPr>
            <w:tcW w:w="493" w:type="pct"/>
            <w:tcBorders>
              <w:top w:val="nil"/>
              <w:left w:val="nil"/>
              <w:bottom w:val="nil"/>
              <w:right w:val="nil"/>
            </w:tcBorders>
            <w:shd w:val="clear" w:color="auto" w:fill="auto"/>
            <w:noWrap/>
            <w:hideMark/>
          </w:tcPr>
          <w:p w14:paraId="26824E5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-0.2424</w:t>
            </w:r>
          </w:p>
        </w:tc>
        <w:tc>
          <w:tcPr>
            <w:tcW w:w="259" w:type="pct"/>
            <w:tcBorders>
              <w:top w:val="nil"/>
              <w:left w:val="nil"/>
              <w:bottom w:val="nil"/>
              <w:right w:val="nil"/>
            </w:tcBorders>
            <w:shd w:val="clear" w:color="auto" w:fill="auto"/>
            <w:noWrap/>
            <w:vAlign w:val="center"/>
            <w:hideMark/>
          </w:tcPr>
          <w:p w14:paraId="7005524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732376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(-5.85)</w:t>
            </w:r>
          </w:p>
        </w:tc>
        <w:tc>
          <w:tcPr>
            <w:tcW w:w="493" w:type="pct"/>
            <w:tcBorders>
              <w:top w:val="nil"/>
              <w:left w:val="nil"/>
              <w:bottom w:val="nil"/>
              <w:right w:val="nil"/>
            </w:tcBorders>
            <w:shd w:val="clear" w:color="auto" w:fill="auto"/>
            <w:noWrap/>
            <w:hideMark/>
          </w:tcPr>
          <w:p w14:paraId="7C831FB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0.0014</w:t>
            </w:r>
          </w:p>
        </w:tc>
        <w:tc>
          <w:tcPr>
            <w:tcW w:w="259" w:type="pct"/>
            <w:tcBorders>
              <w:top w:val="nil"/>
              <w:left w:val="nil"/>
              <w:bottom w:val="nil"/>
              <w:right w:val="nil"/>
            </w:tcBorders>
            <w:shd w:val="clear" w:color="auto" w:fill="auto"/>
            <w:noWrap/>
            <w:vAlign w:val="center"/>
            <w:hideMark/>
          </w:tcPr>
          <w:p w14:paraId="4D65628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58209B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(0.23)</w:t>
            </w:r>
          </w:p>
        </w:tc>
      </w:tr>
      <w:tr w:rsidR="00B9543D" w:rsidRPr="00D67E68" w14:paraId="21BC730B"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BF09CE"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SIZE</w:t>
            </w:r>
          </w:p>
        </w:tc>
        <w:tc>
          <w:tcPr>
            <w:tcW w:w="493" w:type="pct"/>
            <w:tcBorders>
              <w:top w:val="nil"/>
              <w:left w:val="nil"/>
              <w:bottom w:val="nil"/>
              <w:right w:val="nil"/>
            </w:tcBorders>
            <w:shd w:val="clear" w:color="auto" w:fill="F2F2F2" w:themeFill="background1" w:themeFillShade="F2"/>
            <w:noWrap/>
            <w:hideMark/>
          </w:tcPr>
          <w:p w14:paraId="5BE7EB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F2F2F2" w:themeFill="background1" w:themeFillShade="F2"/>
            <w:noWrap/>
            <w:vAlign w:val="center"/>
            <w:hideMark/>
          </w:tcPr>
          <w:p w14:paraId="6B4CA66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769996D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(-0.31)</w:t>
            </w:r>
          </w:p>
        </w:tc>
        <w:tc>
          <w:tcPr>
            <w:tcW w:w="493" w:type="pct"/>
            <w:tcBorders>
              <w:top w:val="nil"/>
              <w:left w:val="nil"/>
              <w:bottom w:val="nil"/>
              <w:right w:val="nil"/>
            </w:tcBorders>
            <w:shd w:val="clear" w:color="auto" w:fill="F2F2F2" w:themeFill="background1" w:themeFillShade="F2"/>
            <w:noWrap/>
            <w:hideMark/>
          </w:tcPr>
          <w:p w14:paraId="7D3C77A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0.0968</w:t>
            </w:r>
          </w:p>
        </w:tc>
        <w:tc>
          <w:tcPr>
            <w:tcW w:w="259" w:type="pct"/>
            <w:tcBorders>
              <w:top w:val="nil"/>
              <w:left w:val="nil"/>
              <w:bottom w:val="nil"/>
              <w:right w:val="nil"/>
            </w:tcBorders>
            <w:shd w:val="clear" w:color="auto" w:fill="F2F2F2" w:themeFill="background1" w:themeFillShade="F2"/>
            <w:noWrap/>
            <w:vAlign w:val="center"/>
            <w:hideMark/>
          </w:tcPr>
          <w:p w14:paraId="13C7B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F1A174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(0.95)</w:t>
            </w:r>
          </w:p>
        </w:tc>
        <w:tc>
          <w:tcPr>
            <w:tcW w:w="493" w:type="pct"/>
            <w:tcBorders>
              <w:top w:val="nil"/>
              <w:left w:val="nil"/>
              <w:bottom w:val="nil"/>
              <w:right w:val="nil"/>
            </w:tcBorders>
            <w:shd w:val="clear" w:color="auto" w:fill="F2F2F2" w:themeFill="background1" w:themeFillShade="F2"/>
            <w:noWrap/>
            <w:hideMark/>
          </w:tcPr>
          <w:p w14:paraId="56FAE36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0.0111</w:t>
            </w:r>
          </w:p>
        </w:tc>
        <w:tc>
          <w:tcPr>
            <w:tcW w:w="259" w:type="pct"/>
            <w:tcBorders>
              <w:top w:val="nil"/>
              <w:left w:val="nil"/>
              <w:bottom w:val="nil"/>
              <w:right w:val="nil"/>
            </w:tcBorders>
            <w:shd w:val="clear" w:color="auto" w:fill="F2F2F2" w:themeFill="background1" w:themeFillShade="F2"/>
            <w:noWrap/>
            <w:vAlign w:val="center"/>
            <w:hideMark/>
          </w:tcPr>
          <w:p w14:paraId="71F257F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792529A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(0.90)</w:t>
            </w:r>
          </w:p>
        </w:tc>
      </w:tr>
      <w:tr w:rsidR="00B9543D" w:rsidRPr="00D67E68" w14:paraId="50AD365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596327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MTB</w:t>
            </w:r>
          </w:p>
        </w:tc>
        <w:tc>
          <w:tcPr>
            <w:tcW w:w="493" w:type="pct"/>
            <w:tcBorders>
              <w:top w:val="nil"/>
              <w:left w:val="nil"/>
              <w:bottom w:val="nil"/>
              <w:right w:val="nil"/>
            </w:tcBorders>
            <w:shd w:val="clear" w:color="auto" w:fill="F2F2F2" w:themeFill="background1" w:themeFillShade="F2"/>
            <w:noWrap/>
            <w:hideMark/>
          </w:tcPr>
          <w:p w14:paraId="7E1A74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-0.0063</w:t>
            </w:r>
          </w:p>
        </w:tc>
        <w:tc>
          <w:tcPr>
            <w:tcW w:w="259" w:type="pct"/>
            <w:tcBorders>
              <w:top w:val="nil"/>
              <w:left w:val="nil"/>
              <w:bottom w:val="nil"/>
              <w:right w:val="nil"/>
            </w:tcBorders>
            <w:shd w:val="clear" w:color="auto" w:fill="F2F2F2" w:themeFill="background1" w:themeFillShade="F2"/>
            <w:noWrap/>
            <w:vAlign w:val="center"/>
            <w:hideMark/>
          </w:tcPr>
          <w:p w14:paraId="57F7A6A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52C096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(-1.83)</w:t>
            </w:r>
          </w:p>
        </w:tc>
        <w:tc>
          <w:tcPr>
            <w:tcW w:w="493" w:type="pct"/>
            <w:tcBorders>
              <w:top w:val="nil"/>
              <w:left w:val="nil"/>
              <w:bottom w:val="nil"/>
              <w:right w:val="nil"/>
            </w:tcBorders>
            <w:shd w:val="clear" w:color="auto" w:fill="F2F2F2" w:themeFill="background1" w:themeFillShade="F2"/>
            <w:noWrap/>
            <w:hideMark/>
          </w:tcPr>
          <w:p w14:paraId="416248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F2F2F2" w:themeFill="background1" w:themeFillShade="F2"/>
            <w:noWrap/>
            <w:vAlign w:val="center"/>
            <w:hideMark/>
          </w:tcPr>
          <w:p w14:paraId="729404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37BF95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F2F2F2" w:themeFill="background1" w:themeFillShade="F2"/>
            <w:noWrap/>
            <w:hideMark/>
          </w:tcPr>
          <w:p w14:paraId="361923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D6FBAA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2584DC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(0.26)</w:t>
            </w:r>
          </w:p>
        </w:tc>
      </w:tr>
      <w:tr w:rsidR="00B9543D" w:rsidRPr="00D67E68" w14:paraId="7DFFAA60"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0AA06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LEV</w:t>
            </w:r>
          </w:p>
        </w:tc>
        <w:tc>
          <w:tcPr>
            <w:tcW w:w="493" w:type="pct"/>
            <w:tcBorders>
              <w:top w:val="nil"/>
              <w:left w:val="nil"/>
              <w:bottom w:val="nil"/>
              <w:right w:val="nil"/>
            </w:tcBorders>
            <w:shd w:val="clear" w:color="auto" w:fill="F2F2F2" w:themeFill="background1" w:themeFillShade="F2"/>
            <w:noWrap/>
            <w:hideMark/>
          </w:tcPr>
          <w:p w14:paraId="52B7EEA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0.0045</w:t>
            </w:r>
          </w:p>
        </w:tc>
        <w:tc>
          <w:tcPr>
            <w:tcW w:w="259" w:type="pct"/>
            <w:tcBorders>
              <w:top w:val="nil"/>
              <w:left w:val="nil"/>
              <w:bottom w:val="nil"/>
              <w:right w:val="nil"/>
            </w:tcBorders>
            <w:shd w:val="clear" w:color="auto" w:fill="F2F2F2" w:themeFill="background1" w:themeFillShade="F2"/>
            <w:noWrap/>
            <w:vAlign w:val="center"/>
            <w:hideMark/>
          </w:tcPr>
          <w:p w14:paraId="754C2E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0696369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(1.47)</w:t>
            </w:r>
          </w:p>
        </w:tc>
        <w:tc>
          <w:tcPr>
            <w:tcW w:w="493" w:type="pct"/>
            <w:tcBorders>
              <w:top w:val="nil"/>
              <w:left w:val="nil"/>
              <w:bottom w:val="nil"/>
              <w:right w:val="nil"/>
            </w:tcBorders>
            <w:shd w:val="clear" w:color="auto" w:fill="F2F2F2" w:themeFill="background1" w:themeFillShade="F2"/>
            <w:noWrap/>
            <w:hideMark/>
          </w:tcPr>
          <w:p w14:paraId="4BB84E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-0.0373</w:t>
            </w:r>
          </w:p>
        </w:tc>
        <w:tc>
          <w:tcPr>
            <w:tcW w:w="259" w:type="pct"/>
            <w:tcBorders>
              <w:top w:val="nil"/>
              <w:left w:val="nil"/>
              <w:bottom w:val="nil"/>
              <w:right w:val="nil"/>
            </w:tcBorders>
            <w:shd w:val="clear" w:color="auto" w:fill="F2F2F2" w:themeFill="background1" w:themeFillShade="F2"/>
            <w:noWrap/>
            <w:vAlign w:val="center"/>
            <w:hideMark/>
          </w:tcPr>
          <w:p w14:paraId="789E53C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D00B60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(-0.45)</w:t>
            </w:r>
          </w:p>
        </w:tc>
        <w:tc>
          <w:tcPr>
            <w:tcW w:w="493" w:type="pct"/>
            <w:tcBorders>
              <w:top w:val="nil"/>
              <w:left w:val="nil"/>
              <w:bottom w:val="nil"/>
              <w:right w:val="nil"/>
            </w:tcBorders>
            <w:shd w:val="clear" w:color="auto" w:fill="F2F2F2" w:themeFill="background1" w:themeFillShade="F2"/>
            <w:noWrap/>
            <w:hideMark/>
          </w:tcPr>
          <w:p w14:paraId="4F5543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F2F2F2" w:themeFill="background1" w:themeFillShade="F2"/>
            <w:noWrap/>
            <w:vAlign w:val="center"/>
            <w:hideMark/>
          </w:tcPr>
          <w:p w14:paraId="1502CEF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27C9A6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r>
      <w:tr w:rsidR="00B9543D" w:rsidRPr="00D67E68" w14:paraId="03C05445"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43823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FIRMAGE</w:t>
            </w:r>
          </w:p>
        </w:tc>
        <w:tc>
          <w:tcPr>
            <w:tcW w:w="493" w:type="pct"/>
            <w:tcBorders>
              <w:top w:val="nil"/>
              <w:left w:val="nil"/>
              <w:bottom w:val="nil"/>
              <w:right w:val="nil"/>
            </w:tcBorders>
            <w:shd w:val="clear" w:color="auto" w:fill="F2F2F2" w:themeFill="background1" w:themeFillShade="F2"/>
            <w:noWrap/>
            <w:hideMark/>
          </w:tcPr>
          <w:p w14:paraId="08B124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-0.0052</w:t>
            </w:r>
          </w:p>
        </w:tc>
        <w:tc>
          <w:tcPr>
            <w:tcW w:w="259" w:type="pct"/>
            <w:tcBorders>
              <w:top w:val="nil"/>
              <w:left w:val="nil"/>
              <w:bottom w:val="nil"/>
              <w:right w:val="nil"/>
            </w:tcBorders>
            <w:shd w:val="clear" w:color="auto" w:fill="F2F2F2" w:themeFill="background1" w:themeFillShade="F2"/>
            <w:noWrap/>
            <w:vAlign w:val="center"/>
            <w:hideMark/>
          </w:tcPr>
          <w:p w14:paraId="0EE1EA1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0BDE60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(-1.77)</w:t>
            </w:r>
          </w:p>
        </w:tc>
        <w:tc>
          <w:tcPr>
            <w:tcW w:w="493" w:type="pct"/>
            <w:tcBorders>
              <w:top w:val="nil"/>
              <w:left w:val="nil"/>
              <w:bottom w:val="nil"/>
              <w:right w:val="nil"/>
            </w:tcBorders>
            <w:shd w:val="clear" w:color="auto" w:fill="F2F2F2" w:themeFill="background1" w:themeFillShade="F2"/>
            <w:noWrap/>
            <w:hideMark/>
          </w:tcPr>
          <w:p w14:paraId="6D22468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-0.1285</w:t>
            </w:r>
          </w:p>
        </w:tc>
        <w:tc>
          <w:tcPr>
            <w:tcW w:w="259" w:type="pct"/>
            <w:tcBorders>
              <w:top w:val="nil"/>
              <w:left w:val="nil"/>
              <w:bottom w:val="nil"/>
              <w:right w:val="nil"/>
            </w:tcBorders>
            <w:shd w:val="clear" w:color="auto" w:fill="F2F2F2" w:themeFill="background1" w:themeFillShade="F2"/>
            <w:noWrap/>
            <w:vAlign w:val="center"/>
            <w:hideMark/>
          </w:tcPr>
          <w:p w14:paraId="56F8F5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F2F2F2" w:themeFill="background1" w:themeFillShade="F2"/>
            <w:noWrap/>
            <w:hideMark/>
          </w:tcPr>
          <w:p w14:paraId="27F5A3B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(-1.67)</w:t>
            </w:r>
          </w:p>
        </w:tc>
        <w:tc>
          <w:tcPr>
            <w:tcW w:w="493" w:type="pct"/>
            <w:tcBorders>
              <w:top w:val="nil"/>
              <w:left w:val="nil"/>
              <w:bottom w:val="nil"/>
              <w:right w:val="nil"/>
            </w:tcBorders>
            <w:shd w:val="clear" w:color="auto" w:fill="F2F2F2" w:themeFill="background1" w:themeFillShade="F2"/>
            <w:noWrap/>
            <w:hideMark/>
          </w:tcPr>
          <w:p w14:paraId="1596BAB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0.0096</w:t>
            </w:r>
          </w:p>
        </w:tc>
        <w:tc>
          <w:tcPr>
            <w:tcW w:w="259" w:type="pct"/>
            <w:tcBorders>
              <w:top w:val="nil"/>
              <w:left w:val="nil"/>
              <w:bottom w:val="nil"/>
              <w:right w:val="nil"/>
            </w:tcBorders>
            <w:shd w:val="clear" w:color="auto" w:fill="F2F2F2" w:themeFill="background1" w:themeFillShade="F2"/>
            <w:noWrap/>
            <w:vAlign w:val="center"/>
            <w:hideMark/>
          </w:tcPr>
          <w:p w14:paraId="5284BA8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8F540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(0.83)</w:t>
            </w:r>
          </w:p>
        </w:tc>
      </w:tr>
      <w:tr w:rsidR="00B9543D" w:rsidRPr="00D67E68" w14:paraId="279F97E6"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046D9FDB"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INVCYC</w:t>
            </w:r>
          </w:p>
        </w:tc>
        <w:tc>
          <w:tcPr>
            <w:tcW w:w="493" w:type="pct"/>
            <w:tcBorders>
              <w:top w:val="nil"/>
              <w:left w:val="nil"/>
              <w:bottom w:val="nil"/>
              <w:right w:val="nil"/>
            </w:tcBorders>
            <w:shd w:val="clear" w:color="auto" w:fill="F2F2F2" w:themeFill="background1" w:themeFillShade="F2"/>
            <w:noWrap/>
            <w:hideMark/>
          </w:tcPr>
          <w:p w14:paraId="7C9A3E4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F2F2F2" w:themeFill="background1" w:themeFillShade="F2"/>
            <w:noWrap/>
            <w:vAlign w:val="center"/>
            <w:hideMark/>
          </w:tcPr>
          <w:p w14:paraId="4454A3C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7E1AFB2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(1.74)</w:t>
            </w:r>
          </w:p>
        </w:tc>
        <w:tc>
          <w:tcPr>
            <w:tcW w:w="493" w:type="pct"/>
            <w:tcBorders>
              <w:top w:val="nil"/>
              <w:left w:val="nil"/>
              <w:bottom w:val="nil"/>
              <w:right w:val="nil"/>
            </w:tcBorders>
            <w:shd w:val="clear" w:color="auto" w:fill="F2F2F2" w:themeFill="background1" w:themeFillShade="F2"/>
            <w:noWrap/>
            <w:hideMark/>
          </w:tcPr>
          <w:p w14:paraId="6C21F16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0.1220</w:t>
            </w:r>
          </w:p>
        </w:tc>
        <w:tc>
          <w:tcPr>
            <w:tcW w:w="259" w:type="pct"/>
            <w:tcBorders>
              <w:top w:val="nil"/>
              <w:left w:val="nil"/>
              <w:bottom w:val="nil"/>
              <w:right w:val="nil"/>
            </w:tcBorders>
            <w:shd w:val="clear" w:color="auto" w:fill="F2F2F2" w:themeFill="background1" w:themeFillShade="F2"/>
            <w:noWrap/>
            <w:vAlign w:val="center"/>
            <w:hideMark/>
          </w:tcPr>
          <w:p w14:paraId="6D375F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004D075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(1.52)</w:t>
            </w:r>
          </w:p>
        </w:tc>
        <w:tc>
          <w:tcPr>
            <w:tcW w:w="493" w:type="pct"/>
            <w:tcBorders>
              <w:top w:val="nil"/>
              <w:left w:val="nil"/>
              <w:bottom w:val="nil"/>
              <w:right w:val="nil"/>
            </w:tcBorders>
            <w:shd w:val="clear" w:color="auto" w:fill="F2F2F2" w:themeFill="background1" w:themeFillShade="F2"/>
            <w:noWrap/>
            <w:hideMark/>
          </w:tcPr>
          <w:p w14:paraId="261E80C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B3EF74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39A26F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1553124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3093143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LITIG</w:t>
            </w:r>
          </w:p>
        </w:tc>
        <w:tc>
          <w:tcPr>
            <w:tcW w:w="493" w:type="pct"/>
            <w:tcBorders>
              <w:top w:val="nil"/>
              <w:left w:val="nil"/>
              <w:bottom w:val="nil"/>
              <w:right w:val="nil"/>
            </w:tcBorders>
            <w:shd w:val="clear" w:color="auto" w:fill="F2F2F2" w:themeFill="background1" w:themeFillShade="F2"/>
            <w:noWrap/>
            <w:hideMark/>
          </w:tcPr>
          <w:p w14:paraId="157A7A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F2F2F2" w:themeFill="background1" w:themeFillShade="F2"/>
            <w:noWrap/>
            <w:vAlign w:val="center"/>
            <w:hideMark/>
          </w:tcPr>
          <w:p w14:paraId="16AC5E7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6DB1D01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c>
          <w:tcPr>
            <w:tcW w:w="493" w:type="pct"/>
            <w:tcBorders>
              <w:top w:val="nil"/>
              <w:left w:val="nil"/>
              <w:bottom w:val="nil"/>
              <w:right w:val="nil"/>
            </w:tcBorders>
            <w:shd w:val="clear" w:color="auto" w:fill="F2F2F2" w:themeFill="background1" w:themeFillShade="F2"/>
            <w:noWrap/>
            <w:hideMark/>
          </w:tcPr>
          <w:p w14:paraId="598873F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-0.1092</w:t>
            </w:r>
          </w:p>
        </w:tc>
        <w:tc>
          <w:tcPr>
            <w:tcW w:w="259" w:type="pct"/>
            <w:tcBorders>
              <w:top w:val="nil"/>
              <w:left w:val="nil"/>
              <w:bottom w:val="nil"/>
              <w:right w:val="nil"/>
            </w:tcBorders>
            <w:shd w:val="clear" w:color="auto" w:fill="F2F2F2" w:themeFill="background1" w:themeFillShade="F2"/>
            <w:noWrap/>
            <w:vAlign w:val="center"/>
            <w:hideMark/>
          </w:tcPr>
          <w:p w14:paraId="62D5CFBA"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F8EFC3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(-1.19)</w:t>
            </w:r>
          </w:p>
        </w:tc>
        <w:tc>
          <w:tcPr>
            <w:tcW w:w="493" w:type="pct"/>
            <w:tcBorders>
              <w:top w:val="nil"/>
              <w:left w:val="nil"/>
              <w:bottom w:val="nil"/>
              <w:right w:val="nil"/>
            </w:tcBorders>
            <w:shd w:val="clear" w:color="auto" w:fill="F2F2F2" w:themeFill="background1" w:themeFillShade="F2"/>
            <w:noWrap/>
            <w:hideMark/>
          </w:tcPr>
          <w:p w14:paraId="6B6ECE8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0.0194</w:t>
            </w:r>
          </w:p>
        </w:tc>
        <w:tc>
          <w:tcPr>
            <w:tcW w:w="259" w:type="pct"/>
            <w:tcBorders>
              <w:top w:val="nil"/>
              <w:left w:val="nil"/>
              <w:bottom w:val="nil"/>
              <w:right w:val="nil"/>
            </w:tcBorders>
            <w:shd w:val="clear" w:color="auto" w:fill="F2F2F2" w:themeFill="background1" w:themeFillShade="F2"/>
            <w:noWrap/>
            <w:vAlign w:val="center"/>
            <w:hideMark/>
          </w:tcPr>
          <w:p w14:paraId="14F5F74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F2F2F2" w:themeFill="background1" w:themeFillShade="F2"/>
            <w:noWrap/>
            <w:hideMark/>
          </w:tcPr>
          <w:p w14:paraId="3B1AFC6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(1.71)</w:t>
            </w:r>
          </w:p>
        </w:tc>
      </w:tr>
      <w:tr w:rsidR="00B9543D" w:rsidRPr="00D67E68" w14:paraId="521C2B5B" w14:textId="77777777" w:rsidTr="00613FCE">
        <w:trPr>
          <w:trHeight w:val="18"/>
        </w:trPr>
        <w:tc>
          <w:tcPr>
            <w:tcW w:w="1473" w:type="pct"/>
            <w:tcBorders>
              <w:top w:val="nil"/>
              <w:left w:val="nil"/>
              <w:bottom w:val="nil"/>
              <w:right w:val="nil"/>
            </w:tcBorders>
            <w:shd w:val="clear" w:color="auto" w:fill="auto"/>
            <w:noWrap/>
            <w:hideMark/>
          </w:tcPr>
          <w:p w14:paraId="2EF1137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Firm FE</w:t>
            </w:r>
          </w:p>
        </w:tc>
        <w:tc>
          <w:tcPr>
            <w:tcW w:w="493" w:type="pct"/>
            <w:tcBorders>
              <w:top w:val="nil"/>
              <w:left w:val="nil"/>
              <w:bottom w:val="nil"/>
              <w:right w:val="nil"/>
            </w:tcBorders>
            <w:shd w:val="clear" w:color="auto" w:fill="auto"/>
            <w:noWrap/>
            <w:hideMark/>
          </w:tcPr>
          <w:p w14:paraId="7184CF1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0F097F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7A7871DF"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79B584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439AB33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20DB0F7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EEE109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5DFE6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031830FE"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0D503085" w14:textId="77777777" w:rsidTr="00613FCE">
        <w:trPr>
          <w:trHeight w:val="18"/>
        </w:trPr>
        <w:tc>
          <w:tcPr>
            <w:tcW w:w="1473" w:type="pct"/>
            <w:tcBorders>
              <w:top w:val="nil"/>
              <w:left w:val="nil"/>
              <w:bottom w:val="nil"/>
              <w:right w:val="nil"/>
            </w:tcBorders>
            <w:shd w:val="clear" w:color="auto" w:fill="auto"/>
            <w:noWrap/>
            <w:vAlign w:val="center"/>
            <w:hideMark/>
          </w:tcPr>
          <w:p w14:paraId="1DB82CE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Adjusted R</w:t>
            </w:r>
            <w:r w:rsidRPr="00D67E68">
              <w:rPr>
                <w:rFonts w:ascii="Times New Roman" w:eastAsia="Times New Roman" w:hAnsi="Times New Roman" w:cs="Times New Roman"/>
                <w:color w:val="000000"/>
                <w:sz w:val="20"/>
                <w:szCs w:val="21"/>
                <w:vertAlign w:val="superscript"/>
              </w:rPr>
              <w:t>2</w:t>
            </w:r>
          </w:p>
        </w:tc>
        <w:tc>
          <w:tcPr>
            <w:tcW w:w="493" w:type="pct"/>
            <w:tcBorders>
              <w:top w:val="nil"/>
              <w:left w:val="nil"/>
              <w:bottom w:val="nil"/>
              <w:right w:val="nil"/>
            </w:tcBorders>
            <w:shd w:val="clear" w:color="auto" w:fill="auto"/>
            <w:noWrap/>
            <w:hideMark/>
          </w:tcPr>
          <w:p w14:paraId="3D9FB1D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2.387%</w:t>
            </w:r>
          </w:p>
        </w:tc>
        <w:tc>
          <w:tcPr>
            <w:tcW w:w="259" w:type="pct"/>
            <w:tcBorders>
              <w:top w:val="nil"/>
              <w:left w:val="nil"/>
              <w:bottom w:val="nil"/>
              <w:right w:val="nil"/>
            </w:tcBorders>
            <w:shd w:val="clear" w:color="auto" w:fill="auto"/>
            <w:noWrap/>
            <w:vAlign w:val="bottom"/>
            <w:hideMark/>
          </w:tcPr>
          <w:p w14:paraId="32779F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323F918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4BBFC67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11.72%</w:t>
            </w:r>
          </w:p>
        </w:tc>
        <w:tc>
          <w:tcPr>
            <w:tcW w:w="259" w:type="pct"/>
            <w:tcBorders>
              <w:top w:val="nil"/>
              <w:left w:val="nil"/>
              <w:bottom w:val="nil"/>
              <w:right w:val="nil"/>
            </w:tcBorders>
            <w:shd w:val="clear" w:color="auto" w:fill="auto"/>
            <w:noWrap/>
            <w:vAlign w:val="bottom"/>
            <w:hideMark/>
          </w:tcPr>
          <w:p w14:paraId="172E4AF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65FF410B"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C6F36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4.280%</w:t>
            </w:r>
          </w:p>
        </w:tc>
        <w:tc>
          <w:tcPr>
            <w:tcW w:w="259" w:type="pct"/>
            <w:tcBorders>
              <w:top w:val="nil"/>
              <w:left w:val="nil"/>
              <w:bottom w:val="nil"/>
              <w:right w:val="nil"/>
            </w:tcBorders>
            <w:shd w:val="clear" w:color="auto" w:fill="auto"/>
            <w:noWrap/>
            <w:vAlign w:val="bottom"/>
            <w:hideMark/>
          </w:tcPr>
          <w:p w14:paraId="2180839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5A4467D5"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154F229B" w14:textId="77777777" w:rsidTr="00613FCE">
        <w:trPr>
          <w:trHeight w:val="18"/>
        </w:trPr>
        <w:tc>
          <w:tcPr>
            <w:tcW w:w="1473" w:type="pct"/>
            <w:tcBorders>
              <w:top w:val="nil"/>
              <w:left w:val="nil"/>
              <w:bottom w:val="single" w:sz="8" w:space="0" w:color="auto"/>
              <w:right w:val="nil"/>
            </w:tcBorders>
            <w:shd w:val="clear" w:color="auto" w:fill="auto"/>
            <w:noWrap/>
            <w:vAlign w:val="center"/>
            <w:hideMark/>
          </w:tcPr>
          <w:p w14:paraId="5862257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Number of Obs.</w:t>
            </w:r>
          </w:p>
        </w:tc>
        <w:tc>
          <w:tcPr>
            <w:tcW w:w="493" w:type="pct"/>
            <w:tcBorders>
              <w:top w:val="nil"/>
              <w:left w:val="nil"/>
              <w:bottom w:val="single" w:sz="8" w:space="0" w:color="auto"/>
              <w:right w:val="nil"/>
            </w:tcBorders>
            <w:shd w:val="clear" w:color="auto" w:fill="auto"/>
            <w:noWrap/>
            <w:hideMark/>
          </w:tcPr>
          <w:p w14:paraId="4845686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29C32D8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1" w:type="pct"/>
            <w:tcBorders>
              <w:top w:val="nil"/>
              <w:left w:val="nil"/>
              <w:bottom w:val="single" w:sz="8" w:space="0" w:color="auto"/>
              <w:right w:val="nil"/>
            </w:tcBorders>
            <w:shd w:val="clear" w:color="auto" w:fill="auto"/>
            <w:noWrap/>
            <w:vAlign w:val="bottom"/>
            <w:hideMark/>
          </w:tcPr>
          <w:p w14:paraId="3FB591E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33AAC4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39403E5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389" w:type="pct"/>
            <w:tcBorders>
              <w:top w:val="nil"/>
              <w:left w:val="nil"/>
              <w:bottom w:val="single" w:sz="8" w:space="0" w:color="auto"/>
              <w:right w:val="nil"/>
            </w:tcBorders>
            <w:shd w:val="clear" w:color="auto" w:fill="auto"/>
            <w:noWrap/>
            <w:vAlign w:val="bottom"/>
            <w:hideMark/>
          </w:tcPr>
          <w:p w14:paraId="70A41DB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6313EE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15,228 </w:t>
            </w:r>
          </w:p>
        </w:tc>
        <w:tc>
          <w:tcPr>
            <w:tcW w:w="259" w:type="pct"/>
            <w:tcBorders>
              <w:top w:val="nil"/>
              <w:left w:val="nil"/>
              <w:bottom w:val="single" w:sz="8" w:space="0" w:color="auto"/>
              <w:right w:val="nil"/>
            </w:tcBorders>
            <w:shd w:val="clear" w:color="auto" w:fill="auto"/>
            <w:noWrap/>
            <w:vAlign w:val="bottom"/>
            <w:hideMark/>
          </w:tcPr>
          <w:p w14:paraId="0EBE520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0" w:type="pct"/>
            <w:tcBorders>
              <w:top w:val="nil"/>
              <w:left w:val="nil"/>
              <w:bottom w:val="single" w:sz="8" w:space="0" w:color="auto"/>
              <w:right w:val="nil"/>
            </w:tcBorders>
            <w:shd w:val="clear" w:color="auto" w:fill="auto"/>
            <w:noWrap/>
            <w:vAlign w:val="bottom"/>
            <w:hideMark/>
          </w:tcPr>
          <w:p w14:paraId="365C7DB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r>
    </w:tbl>
    <w:p w14:paraId="17EF6156" w14:textId="7172A303" w:rsidR="00B9543D" w:rsidRPr="005F7C3C" w:rsidRDefault="00B9543D" w:rsidP="00B9543D">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5</w:t>
      </w:r>
      <w:r w:rsidRPr="004A606C">
        <w:rPr>
          <w:rFonts w:ascii="Times New Roman" w:eastAsia="Times New Roman" w:hAnsi="Times New Roman" w:cs="Times New Roman"/>
          <w:color w:val="000000"/>
          <w:sz w:val="20"/>
          <w:szCs w:val="20"/>
        </w:rPr>
        <w:t xml:space="preserve"> </w:t>
      </w:r>
      <w:r w:rsidRPr="00B9543D">
        <w:rPr>
          <w:rFonts w:ascii="Times New Roman" w:eastAsia="Times New Roman" w:hAnsi="Times New Roman" w:cs="Times New Roman"/>
          <w:color w:val="000000"/>
          <w:sz w:val="20"/>
          <w:szCs w:val="20"/>
        </w:rPr>
        <w:t xml:space="preserve">reports the estimation results of the regression on changes in bid-ask spread, analysts forecast errors and dispersion. All </w:t>
      </w:r>
      <w:r w:rsidRPr="004A606C">
        <w:rPr>
          <w:rFonts w:ascii="Times New Roman" w:eastAsia="Times New Roman" w:hAnsi="Times New Roman" w:cs="Times New Roman"/>
          <w:color w:val="000000"/>
          <w:sz w:val="20"/>
          <w:szCs w:val="20"/>
        </w:rPr>
        <w:t xml:space="preserve">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w:t>
      </w:r>
      <w:r w:rsidRPr="004A606C">
        <w:rPr>
          <w:rFonts w:ascii="Times New Roman" w:eastAsia="Times New Roman" w:hAnsi="Times New Roman" w:cs="Times New Roman"/>
          <w:color w:val="000000"/>
          <w:sz w:val="20"/>
          <w:szCs w:val="20"/>
        </w:rPr>
        <w:lastRenderedPageBreak/>
        <w:t xml:space="preserve">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4C060EFC" w14:textId="77777777"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sectPr w:rsidR="005F7C3C" w:rsidSect="00F24078">
          <w:footerReference w:type="default" r:id="rId14"/>
          <w:pgSz w:w="15840" w:h="12240" w:orient="landscape"/>
          <w:pgMar w:top="1440" w:right="1267" w:bottom="1440" w:left="1440" w:header="720" w:footer="720" w:gutter="0"/>
          <w:pgBorders w:offsetFrom="page">
            <w:top w:val="single" w:sz="6" w:space="24" w:color="auto"/>
          </w:pgBorders>
          <w:cols w:space="720"/>
          <w:docGrid w:linePitch="360"/>
        </w:sectPr>
      </w:pPr>
    </w:p>
    <w:p w14:paraId="3A885621" w14:textId="0D987019"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9543D">
        <w:rPr>
          <w:rFonts w:ascii="Times New Roman" w:eastAsia="Times New Roman" w:hAnsi="Times New Roman" w:cs="Times New Roman"/>
          <w:b/>
          <w:bCs/>
          <w:color w:val="000000"/>
          <w:sz w:val="24"/>
        </w:rPr>
        <w:t>6</w:t>
      </w:r>
    </w:p>
    <w:p w14:paraId="12F80E2B" w14:textId="77777777" w:rsidR="00F23760"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r w:rsidRPr="00D67E68">
        <w:rPr>
          <w:rFonts w:ascii="Times New Roman" w:eastAsia="Times New Roman" w:hAnsi="Times New Roman" w:cs="Times New Roman"/>
          <w:b/>
          <w:bCs/>
          <w:color w:val="000000"/>
          <w:sz w:val="24"/>
        </w:rPr>
        <w:t xml:space="preserve">Granger </w:t>
      </w:r>
      <w:r w:rsidR="00F23760">
        <w:rPr>
          <w:rFonts w:ascii="Times New Roman" w:eastAsia="Times New Roman" w:hAnsi="Times New Roman" w:cs="Times New Roman"/>
          <w:b/>
          <w:bCs/>
          <w:color w:val="000000"/>
          <w:sz w:val="24"/>
        </w:rPr>
        <w:t>C</w:t>
      </w:r>
      <w:r w:rsidRPr="00D67E68">
        <w:rPr>
          <w:rFonts w:ascii="Times New Roman" w:eastAsia="Times New Roman" w:hAnsi="Times New Roman" w:cs="Times New Roman"/>
          <w:b/>
          <w:bCs/>
          <w:color w:val="000000"/>
          <w:sz w:val="24"/>
        </w:rPr>
        <w:t xml:space="preserve">ausality </w:t>
      </w:r>
      <w:r w:rsidR="00F23760">
        <w:rPr>
          <w:rFonts w:ascii="Times New Roman" w:eastAsia="Times New Roman" w:hAnsi="Times New Roman" w:cs="Times New Roman"/>
          <w:b/>
          <w:bCs/>
          <w:color w:val="000000"/>
          <w:sz w:val="24"/>
        </w:rPr>
        <w:t>Analyses of</w:t>
      </w:r>
      <w:r w:rsidRPr="00D67E68">
        <w:rPr>
          <w:rFonts w:ascii="Times New Roman" w:eastAsia="Times New Roman" w:hAnsi="Times New Roman" w:cs="Times New Roman"/>
          <w:b/>
          <w:bCs/>
          <w:color w:val="000000"/>
          <w:sz w:val="24"/>
        </w:rPr>
        <w:t xml:space="preserve"> the </w:t>
      </w:r>
      <w:r w:rsidR="00F23760">
        <w:rPr>
          <w:rFonts w:ascii="Times New Roman" w:eastAsia="Times New Roman" w:hAnsi="Times New Roman" w:cs="Times New Roman"/>
          <w:b/>
          <w:bCs/>
          <w:color w:val="000000"/>
          <w:sz w:val="24"/>
        </w:rPr>
        <w:t>R</w:t>
      </w:r>
      <w:r w:rsidRPr="00D67E68">
        <w:rPr>
          <w:rFonts w:ascii="Times New Roman" w:eastAsia="Times New Roman" w:hAnsi="Times New Roman" w:cs="Times New Roman"/>
          <w:b/>
          <w:bCs/>
          <w:color w:val="000000"/>
          <w:sz w:val="24"/>
        </w:rPr>
        <w:t xml:space="preserve">elation between </w:t>
      </w:r>
    </w:p>
    <w:p w14:paraId="24FE1EB1" w14:textId="2C173FD1" w:rsidR="00D67E68" w:rsidRDefault="00F23760" w:rsidP="002D7B5C">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Forward-looking Disclosure and Conservatism</w:t>
      </w:r>
    </w:p>
    <w:p w14:paraId="0F1251A5" w14:textId="77777777" w:rsidR="00D67E68"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p>
    <w:tbl>
      <w:tblPr>
        <w:tblW w:w="11572" w:type="dxa"/>
        <w:tblLook w:val="04A0" w:firstRow="1" w:lastRow="0" w:firstColumn="1" w:lastColumn="0" w:noHBand="0" w:noVBand="1"/>
      </w:tblPr>
      <w:tblGrid>
        <w:gridCol w:w="3536"/>
        <w:gridCol w:w="789"/>
        <w:gridCol w:w="1115"/>
        <w:gridCol w:w="680"/>
        <w:gridCol w:w="1069"/>
        <w:gridCol w:w="789"/>
        <w:gridCol w:w="1845"/>
        <w:gridCol w:w="680"/>
        <w:gridCol w:w="1069"/>
      </w:tblGrid>
      <w:tr w:rsidR="00F23760" w:rsidRPr="00F23760" w14:paraId="64C4710E" w14:textId="77777777" w:rsidTr="00F23760">
        <w:trPr>
          <w:trHeight w:val="269"/>
        </w:trPr>
        <w:tc>
          <w:tcPr>
            <w:tcW w:w="0" w:type="auto"/>
            <w:tcBorders>
              <w:top w:val="single" w:sz="4" w:space="0" w:color="auto"/>
              <w:left w:val="nil"/>
              <w:bottom w:val="nil"/>
              <w:right w:val="nil"/>
            </w:tcBorders>
            <w:shd w:val="clear" w:color="auto" w:fill="auto"/>
            <w:noWrap/>
            <w:vAlign w:val="bottom"/>
            <w:hideMark/>
          </w:tcPr>
          <w:p w14:paraId="6A26B06E"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Dependent Variable =  </w:t>
            </w:r>
          </w:p>
        </w:tc>
        <w:tc>
          <w:tcPr>
            <w:tcW w:w="0" w:type="auto"/>
            <w:tcBorders>
              <w:top w:val="single" w:sz="4" w:space="0" w:color="auto"/>
              <w:left w:val="nil"/>
              <w:bottom w:val="nil"/>
              <w:right w:val="nil"/>
            </w:tcBorders>
            <w:shd w:val="clear" w:color="auto" w:fill="auto"/>
            <w:noWrap/>
            <w:vAlign w:val="bottom"/>
            <w:hideMark/>
          </w:tcPr>
          <w:p w14:paraId="694B4C17"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08B31049" w14:textId="77777777" w:rsidR="00F23760" w:rsidRPr="00F23760" w:rsidRDefault="00F23760" w:rsidP="00F23760">
            <w:pPr>
              <w:jc w:val="center"/>
              <w:rPr>
                <w:rFonts w:ascii="Times New Roman" w:eastAsia="Times New Roman" w:hAnsi="Times New Roman" w:cs="Times New Roman"/>
                <w:b/>
                <w:bCs/>
                <w:i/>
                <w:iCs/>
                <w:color w:val="000000"/>
                <w:sz w:val="20"/>
                <w:szCs w:val="20"/>
              </w:rPr>
            </w:pPr>
            <w:proofErr w:type="spellStart"/>
            <w:r w:rsidRPr="00F23760">
              <w:rPr>
                <w:rFonts w:ascii="Times New Roman" w:eastAsia="Times New Roman" w:hAnsi="Times New Roman" w:cs="Times New Roman"/>
                <w:b/>
                <w:bCs/>
                <w:i/>
                <w:iCs/>
                <w:color w:val="000000"/>
                <w:sz w:val="20"/>
                <w:szCs w:val="20"/>
              </w:rPr>
              <w:t>FWDLOOK</w:t>
            </w:r>
            <w:r w:rsidRPr="00F23760">
              <w:rPr>
                <w:rFonts w:ascii="Times New Roman" w:eastAsia="Times New Roman" w:hAnsi="Times New Roman" w:cs="Times New Roman"/>
                <w:b/>
                <w:bCs/>
                <w:i/>
                <w:iCs/>
                <w:color w:val="000000"/>
                <w:sz w:val="20"/>
                <w:szCs w:val="20"/>
                <w:vertAlign w:val="subscript"/>
              </w:rPr>
              <w:t>jt</w:t>
            </w:r>
            <w:proofErr w:type="spellEnd"/>
          </w:p>
        </w:tc>
        <w:tc>
          <w:tcPr>
            <w:tcW w:w="0" w:type="auto"/>
            <w:tcBorders>
              <w:top w:val="single" w:sz="4" w:space="0" w:color="auto"/>
              <w:left w:val="nil"/>
              <w:bottom w:val="nil"/>
              <w:right w:val="nil"/>
            </w:tcBorders>
            <w:shd w:val="clear" w:color="auto" w:fill="auto"/>
            <w:noWrap/>
            <w:vAlign w:val="bottom"/>
            <w:hideMark/>
          </w:tcPr>
          <w:p w14:paraId="588472A5"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6C2F11A2" w14:textId="77777777" w:rsidR="00F23760" w:rsidRPr="00F23760" w:rsidRDefault="00F23760" w:rsidP="00F23760">
            <w:pPr>
              <w:jc w:val="center"/>
              <w:rPr>
                <w:rFonts w:ascii="Times New Roman" w:eastAsia="Times New Roman" w:hAnsi="Times New Roman" w:cs="Times New Roman"/>
                <w:b/>
                <w:bCs/>
                <w:i/>
                <w:iCs/>
                <w:color w:val="000000"/>
                <w:sz w:val="20"/>
                <w:szCs w:val="20"/>
              </w:rPr>
            </w:pPr>
            <w:proofErr w:type="spellStart"/>
            <w:r w:rsidRPr="00F23760">
              <w:rPr>
                <w:rFonts w:ascii="Times New Roman" w:eastAsia="Times New Roman" w:hAnsi="Times New Roman" w:cs="Times New Roman"/>
                <w:b/>
                <w:bCs/>
                <w:i/>
                <w:iCs/>
                <w:color w:val="000000"/>
                <w:sz w:val="20"/>
                <w:szCs w:val="20"/>
              </w:rPr>
              <w:t>CONSER</w:t>
            </w:r>
            <w:r w:rsidRPr="00F23760">
              <w:rPr>
                <w:rFonts w:ascii="Times New Roman" w:eastAsia="Times New Roman" w:hAnsi="Times New Roman" w:cs="Times New Roman"/>
                <w:b/>
                <w:bCs/>
                <w:i/>
                <w:iCs/>
                <w:color w:val="000000"/>
                <w:sz w:val="20"/>
                <w:szCs w:val="20"/>
                <w:vertAlign w:val="subscript"/>
              </w:rPr>
              <w:t>jt</w:t>
            </w:r>
            <w:proofErr w:type="spellEnd"/>
          </w:p>
        </w:tc>
      </w:tr>
      <w:tr w:rsidR="00F23760" w:rsidRPr="00F23760" w14:paraId="21BC1159" w14:textId="77777777" w:rsidTr="00F23760">
        <w:trPr>
          <w:trHeight w:val="263"/>
        </w:trPr>
        <w:tc>
          <w:tcPr>
            <w:tcW w:w="0" w:type="auto"/>
            <w:tcBorders>
              <w:top w:val="nil"/>
              <w:left w:val="nil"/>
              <w:bottom w:val="nil"/>
              <w:right w:val="nil"/>
            </w:tcBorders>
            <w:shd w:val="clear" w:color="auto" w:fill="auto"/>
            <w:noWrap/>
            <w:vAlign w:val="bottom"/>
            <w:hideMark/>
          </w:tcPr>
          <w:p w14:paraId="5F321401" w14:textId="77777777" w:rsidR="00F23760" w:rsidRPr="00F23760" w:rsidRDefault="00F23760" w:rsidP="00F23760">
            <w:pPr>
              <w:jc w:val="center"/>
              <w:rPr>
                <w:rFonts w:ascii="Times New Roman" w:eastAsia="Times New Roman" w:hAnsi="Times New Roman" w:cs="Times New Roman"/>
                <w:b/>
                <w:bCs/>
                <w:i/>
                <w:iCs/>
                <w:color w:val="000000"/>
                <w:sz w:val="20"/>
                <w:szCs w:val="20"/>
              </w:rPr>
            </w:pPr>
          </w:p>
        </w:tc>
        <w:tc>
          <w:tcPr>
            <w:tcW w:w="0" w:type="auto"/>
            <w:tcBorders>
              <w:top w:val="nil"/>
              <w:left w:val="nil"/>
              <w:bottom w:val="nil"/>
              <w:right w:val="nil"/>
            </w:tcBorders>
            <w:shd w:val="clear" w:color="auto" w:fill="auto"/>
            <w:noWrap/>
            <w:vAlign w:val="bottom"/>
            <w:hideMark/>
          </w:tcPr>
          <w:p w14:paraId="1F36561D"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029251A8"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(1)</w:t>
            </w:r>
          </w:p>
        </w:tc>
        <w:tc>
          <w:tcPr>
            <w:tcW w:w="0" w:type="auto"/>
            <w:tcBorders>
              <w:top w:val="nil"/>
              <w:left w:val="nil"/>
              <w:bottom w:val="nil"/>
              <w:right w:val="nil"/>
            </w:tcBorders>
            <w:shd w:val="clear" w:color="auto" w:fill="auto"/>
            <w:noWrap/>
            <w:vAlign w:val="bottom"/>
            <w:hideMark/>
          </w:tcPr>
          <w:p w14:paraId="42535992"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12A01115"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(2)</w:t>
            </w:r>
          </w:p>
        </w:tc>
      </w:tr>
      <w:tr w:rsidR="00F23760" w:rsidRPr="00F23760" w14:paraId="11AE73C8" w14:textId="77777777" w:rsidTr="00F23760">
        <w:trPr>
          <w:trHeight w:val="263"/>
        </w:trPr>
        <w:tc>
          <w:tcPr>
            <w:tcW w:w="0" w:type="auto"/>
            <w:tcBorders>
              <w:top w:val="nil"/>
              <w:left w:val="nil"/>
              <w:bottom w:val="single" w:sz="4" w:space="0" w:color="auto"/>
              <w:right w:val="nil"/>
            </w:tcBorders>
            <w:shd w:val="clear" w:color="auto" w:fill="auto"/>
            <w:noWrap/>
            <w:vAlign w:val="bottom"/>
            <w:hideMark/>
          </w:tcPr>
          <w:p w14:paraId="46F23815" w14:textId="77777777" w:rsidR="00F23760" w:rsidRPr="00F23760" w:rsidRDefault="00F23760" w:rsidP="00F23760">
            <w:pP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Variable</w:t>
            </w:r>
          </w:p>
        </w:tc>
        <w:tc>
          <w:tcPr>
            <w:tcW w:w="0" w:type="auto"/>
            <w:tcBorders>
              <w:top w:val="nil"/>
              <w:left w:val="nil"/>
              <w:bottom w:val="single" w:sz="4" w:space="0" w:color="auto"/>
              <w:right w:val="nil"/>
            </w:tcBorders>
            <w:shd w:val="clear" w:color="auto" w:fill="auto"/>
            <w:noWrap/>
            <w:vAlign w:val="bottom"/>
            <w:hideMark/>
          </w:tcPr>
          <w:p w14:paraId="555E52AC"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1E96708B"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0C68591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1A2EA3F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c>
          <w:tcPr>
            <w:tcW w:w="0" w:type="auto"/>
            <w:tcBorders>
              <w:top w:val="nil"/>
              <w:left w:val="nil"/>
              <w:bottom w:val="single" w:sz="4" w:space="0" w:color="auto"/>
              <w:right w:val="nil"/>
            </w:tcBorders>
            <w:shd w:val="clear" w:color="auto" w:fill="auto"/>
            <w:noWrap/>
            <w:vAlign w:val="bottom"/>
            <w:hideMark/>
          </w:tcPr>
          <w:p w14:paraId="0A55280E"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7FEE5515"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75430913"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27C0273F"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r>
      <w:tr w:rsidR="00F23760" w:rsidRPr="00F23760" w14:paraId="6339C4E4" w14:textId="77777777" w:rsidTr="00F23760">
        <w:trPr>
          <w:trHeight w:val="263"/>
        </w:trPr>
        <w:tc>
          <w:tcPr>
            <w:tcW w:w="0" w:type="auto"/>
            <w:tcBorders>
              <w:top w:val="nil"/>
              <w:left w:val="nil"/>
              <w:bottom w:val="nil"/>
              <w:right w:val="nil"/>
            </w:tcBorders>
            <w:shd w:val="clear" w:color="auto" w:fill="auto"/>
            <w:noWrap/>
            <w:vAlign w:val="bottom"/>
            <w:hideMark/>
          </w:tcPr>
          <w:p w14:paraId="6C9C759A"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Intercept</w:t>
            </w:r>
          </w:p>
        </w:tc>
        <w:tc>
          <w:tcPr>
            <w:tcW w:w="0" w:type="auto"/>
            <w:tcBorders>
              <w:top w:val="nil"/>
              <w:left w:val="nil"/>
              <w:bottom w:val="nil"/>
              <w:right w:val="nil"/>
            </w:tcBorders>
            <w:shd w:val="clear" w:color="auto" w:fill="auto"/>
            <w:noWrap/>
            <w:vAlign w:val="bottom"/>
            <w:hideMark/>
          </w:tcPr>
          <w:p w14:paraId="49588CC1" w14:textId="77777777" w:rsidR="00F23760" w:rsidRPr="00F23760" w:rsidRDefault="00F23760" w:rsidP="00F23760">
            <w:pP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14:paraId="651CB30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1.1471</w:t>
            </w:r>
          </w:p>
        </w:tc>
        <w:tc>
          <w:tcPr>
            <w:tcW w:w="0" w:type="auto"/>
            <w:tcBorders>
              <w:top w:val="nil"/>
              <w:left w:val="nil"/>
              <w:bottom w:val="nil"/>
              <w:right w:val="nil"/>
            </w:tcBorders>
            <w:shd w:val="clear" w:color="auto" w:fill="auto"/>
            <w:noWrap/>
            <w:vAlign w:val="center"/>
            <w:hideMark/>
          </w:tcPr>
          <w:p w14:paraId="190D41D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CA328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(1.88)</w:t>
            </w:r>
          </w:p>
        </w:tc>
        <w:tc>
          <w:tcPr>
            <w:tcW w:w="0" w:type="auto"/>
            <w:tcBorders>
              <w:top w:val="nil"/>
              <w:left w:val="nil"/>
              <w:bottom w:val="nil"/>
              <w:right w:val="nil"/>
            </w:tcBorders>
            <w:shd w:val="clear" w:color="auto" w:fill="auto"/>
            <w:noWrap/>
            <w:vAlign w:val="bottom"/>
            <w:hideMark/>
          </w:tcPr>
          <w:p w14:paraId="0A56739A"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9D830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11.195</w:t>
            </w:r>
          </w:p>
        </w:tc>
        <w:tc>
          <w:tcPr>
            <w:tcW w:w="0" w:type="auto"/>
            <w:tcBorders>
              <w:top w:val="nil"/>
              <w:left w:val="nil"/>
              <w:bottom w:val="nil"/>
              <w:right w:val="nil"/>
            </w:tcBorders>
            <w:shd w:val="clear" w:color="auto" w:fill="auto"/>
            <w:noWrap/>
            <w:vAlign w:val="center"/>
            <w:hideMark/>
          </w:tcPr>
          <w:p w14:paraId="02B8AA91"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43C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(3.34)</w:t>
            </w:r>
          </w:p>
        </w:tc>
      </w:tr>
      <w:tr w:rsidR="00F23760" w:rsidRPr="00F23760" w14:paraId="5D6BEA66" w14:textId="77777777" w:rsidTr="00F23760">
        <w:trPr>
          <w:trHeight w:val="307"/>
        </w:trPr>
        <w:tc>
          <w:tcPr>
            <w:tcW w:w="0" w:type="auto"/>
            <w:tcBorders>
              <w:top w:val="nil"/>
              <w:left w:val="nil"/>
              <w:bottom w:val="nil"/>
              <w:right w:val="nil"/>
            </w:tcBorders>
            <w:shd w:val="clear" w:color="auto" w:fill="auto"/>
            <w:noWrap/>
            <w:hideMark/>
          </w:tcPr>
          <w:p w14:paraId="3A433FC8"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 xml:space="preserve">CONSER </w:t>
            </w:r>
            <w:r w:rsidRPr="00F23760">
              <w:rPr>
                <w:rFonts w:ascii="Times New Roman" w:eastAsia="Times New Roman" w:hAnsi="Times New Roman" w:cs="Times New Roman"/>
                <w:b/>
                <w:bCs/>
                <w:i/>
                <w:iCs/>
                <w:color w:val="000000"/>
                <w:vertAlign w:val="subscript"/>
              </w:rPr>
              <w:t>jt-1</w:t>
            </w:r>
          </w:p>
        </w:tc>
        <w:tc>
          <w:tcPr>
            <w:tcW w:w="0" w:type="auto"/>
            <w:tcBorders>
              <w:top w:val="nil"/>
              <w:left w:val="nil"/>
              <w:bottom w:val="nil"/>
              <w:right w:val="nil"/>
            </w:tcBorders>
            <w:shd w:val="clear" w:color="auto" w:fill="auto"/>
            <w:noWrap/>
            <w:hideMark/>
          </w:tcPr>
          <w:p w14:paraId="40F2A40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78BD8F1"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0.0063</w:t>
            </w:r>
          </w:p>
        </w:tc>
        <w:tc>
          <w:tcPr>
            <w:tcW w:w="0" w:type="auto"/>
            <w:tcBorders>
              <w:top w:val="nil"/>
              <w:left w:val="nil"/>
              <w:bottom w:val="nil"/>
              <w:right w:val="nil"/>
            </w:tcBorders>
            <w:shd w:val="clear" w:color="auto" w:fill="auto"/>
            <w:noWrap/>
            <w:vAlign w:val="center"/>
            <w:hideMark/>
          </w:tcPr>
          <w:p w14:paraId="0B0E7011" w14:textId="77777777" w:rsidR="00F23760" w:rsidRPr="00F23760" w:rsidRDefault="00F23760" w:rsidP="00F23760">
            <w:pPr>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3EDFFD6"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(2.54)</w:t>
            </w:r>
          </w:p>
        </w:tc>
        <w:tc>
          <w:tcPr>
            <w:tcW w:w="0" w:type="auto"/>
            <w:tcBorders>
              <w:top w:val="nil"/>
              <w:left w:val="nil"/>
              <w:bottom w:val="nil"/>
              <w:right w:val="nil"/>
            </w:tcBorders>
            <w:shd w:val="clear" w:color="auto" w:fill="auto"/>
            <w:noWrap/>
            <w:hideMark/>
          </w:tcPr>
          <w:p w14:paraId="1C7C8F68"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1965A60"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0.4917</w:t>
            </w:r>
          </w:p>
        </w:tc>
        <w:tc>
          <w:tcPr>
            <w:tcW w:w="0" w:type="auto"/>
            <w:tcBorders>
              <w:top w:val="nil"/>
              <w:left w:val="nil"/>
              <w:bottom w:val="nil"/>
              <w:right w:val="nil"/>
            </w:tcBorders>
            <w:shd w:val="clear" w:color="auto" w:fill="auto"/>
            <w:noWrap/>
            <w:vAlign w:val="center"/>
            <w:hideMark/>
          </w:tcPr>
          <w:p w14:paraId="30160DA9"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916DEB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(33.83)</w:t>
            </w:r>
          </w:p>
        </w:tc>
      </w:tr>
      <w:tr w:rsidR="00F23760" w:rsidRPr="00F23760" w14:paraId="13730557" w14:textId="77777777" w:rsidTr="00F23760">
        <w:trPr>
          <w:trHeight w:val="307"/>
        </w:trPr>
        <w:tc>
          <w:tcPr>
            <w:tcW w:w="0" w:type="auto"/>
            <w:tcBorders>
              <w:top w:val="nil"/>
              <w:left w:val="nil"/>
              <w:bottom w:val="nil"/>
              <w:right w:val="nil"/>
            </w:tcBorders>
            <w:shd w:val="clear" w:color="auto" w:fill="auto"/>
            <w:noWrap/>
            <w:hideMark/>
          </w:tcPr>
          <w:p w14:paraId="100C40EC"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CONSER</w:t>
            </w:r>
            <w:r w:rsidRPr="00F23760">
              <w:rPr>
                <w:rFonts w:ascii="Times New Roman" w:eastAsia="Times New Roman" w:hAnsi="Times New Roman" w:cs="Times New Roman"/>
                <w:b/>
                <w:bCs/>
                <w:i/>
                <w:iCs/>
                <w:color w:val="000000"/>
                <w:vertAlign w:val="subscript"/>
              </w:rPr>
              <w:t>jt-2</w:t>
            </w:r>
          </w:p>
        </w:tc>
        <w:tc>
          <w:tcPr>
            <w:tcW w:w="0" w:type="auto"/>
            <w:tcBorders>
              <w:top w:val="nil"/>
              <w:left w:val="nil"/>
              <w:bottom w:val="nil"/>
              <w:right w:val="nil"/>
            </w:tcBorders>
            <w:shd w:val="clear" w:color="auto" w:fill="auto"/>
            <w:noWrap/>
            <w:hideMark/>
          </w:tcPr>
          <w:p w14:paraId="4123467F"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015448C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-0.0003</w:t>
            </w:r>
          </w:p>
        </w:tc>
        <w:tc>
          <w:tcPr>
            <w:tcW w:w="0" w:type="auto"/>
            <w:tcBorders>
              <w:top w:val="nil"/>
              <w:left w:val="nil"/>
              <w:bottom w:val="nil"/>
              <w:right w:val="nil"/>
            </w:tcBorders>
            <w:shd w:val="clear" w:color="auto" w:fill="auto"/>
            <w:noWrap/>
            <w:vAlign w:val="center"/>
            <w:hideMark/>
          </w:tcPr>
          <w:p w14:paraId="197907E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533134A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(-0.12)</w:t>
            </w:r>
          </w:p>
        </w:tc>
        <w:tc>
          <w:tcPr>
            <w:tcW w:w="0" w:type="auto"/>
            <w:tcBorders>
              <w:top w:val="nil"/>
              <w:left w:val="nil"/>
              <w:bottom w:val="nil"/>
              <w:right w:val="nil"/>
            </w:tcBorders>
            <w:shd w:val="clear" w:color="auto" w:fill="auto"/>
            <w:noWrap/>
            <w:hideMark/>
          </w:tcPr>
          <w:p w14:paraId="21BE138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3FFA87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0.1217</w:t>
            </w:r>
          </w:p>
        </w:tc>
        <w:tc>
          <w:tcPr>
            <w:tcW w:w="0" w:type="auto"/>
            <w:tcBorders>
              <w:top w:val="nil"/>
              <w:left w:val="nil"/>
              <w:bottom w:val="nil"/>
              <w:right w:val="nil"/>
            </w:tcBorders>
            <w:shd w:val="clear" w:color="auto" w:fill="auto"/>
            <w:noWrap/>
            <w:vAlign w:val="center"/>
            <w:hideMark/>
          </w:tcPr>
          <w:p w14:paraId="51EF8EB6"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E42CB0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(9.09)</w:t>
            </w:r>
          </w:p>
        </w:tc>
      </w:tr>
      <w:tr w:rsidR="00F23760" w:rsidRPr="00F23760" w14:paraId="6CAB4D63" w14:textId="77777777" w:rsidTr="00F23760">
        <w:trPr>
          <w:trHeight w:val="307"/>
        </w:trPr>
        <w:tc>
          <w:tcPr>
            <w:tcW w:w="0" w:type="auto"/>
            <w:tcBorders>
              <w:top w:val="nil"/>
              <w:left w:val="nil"/>
              <w:bottom w:val="nil"/>
              <w:right w:val="nil"/>
            </w:tcBorders>
            <w:shd w:val="clear" w:color="auto" w:fill="auto"/>
            <w:noWrap/>
            <w:hideMark/>
          </w:tcPr>
          <w:p w14:paraId="3EA0869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t-1</w:t>
            </w:r>
          </w:p>
        </w:tc>
        <w:tc>
          <w:tcPr>
            <w:tcW w:w="0" w:type="auto"/>
            <w:tcBorders>
              <w:top w:val="nil"/>
              <w:left w:val="nil"/>
              <w:bottom w:val="nil"/>
              <w:right w:val="nil"/>
            </w:tcBorders>
            <w:shd w:val="clear" w:color="auto" w:fill="auto"/>
            <w:noWrap/>
            <w:hideMark/>
          </w:tcPr>
          <w:p w14:paraId="2F581A3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1F33F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0.1998</w:t>
            </w:r>
          </w:p>
        </w:tc>
        <w:tc>
          <w:tcPr>
            <w:tcW w:w="0" w:type="auto"/>
            <w:tcBorders>
              <w:top w:val="nil"/>
              <w:left w:val="nil"/>
              <w:bottom w:val="nil"/>
              <w:right w:val="nil"/>
            </w:tcBorders>
            <w:shd w:val="clear" w:color="auto" w:fill="auto"/>
            <w:noWrap/>
            <w:vAlign w:val="center"/>
            <w:hideMark/>
          </w:tcPr>
          <w:p w14:paraId="4BD015B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8DE9FF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(10.65)</w:t>
            </w:r>
          </w:p>
        </w:tc>
        <w:tc>
          <w:tcPr>
            <w:tcW w:w="0" w:type="auto"/>
            <w:tcBorders>
              <w:top w:val="nil"/>
              <w:left w:val="nil"/>
              <w:bottom w:val="nil"/>
              <w:right w:val="nil"/>
            </w:tcBorders>
            <w:shd w:val="clear" w:color="auto" w:fill="auto"/>
            <w:noWrap/>
            <w:hideMark/>
          </w:tcPr>
          <w:p w14:paraId="5FAAC7CD"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5BFE8DA"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-0.0946</w:t>
            </w:r>
          </w:p>
        </w:tc>
        <w:tc>
          <w:tcPr>
            <w:tcW w:w="0" w:type="auto"/>
            <w:tcBorders>
              <w:top w:val="nil"/>
              <w:left w:val="nil"/>
              <w:bottom w:val="nil"/>
              <w:right w:val="nil"/>
            </w:tcBorders>
            <w:shd w:val="clear" w:color="auto" w:fill="auto"/>
            <w:noWrap/>
            <w:vAlign w:val="center"/>
            <w:hideMark/>
          </w:tcPr>
          <w:p w14:paraId="1E54C3D2"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34E913D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(-0.86)</w:t>
            </w:r>
          </w:p>
        </w:tc>
      </w:tr>
      <w:tr w:rsidR="00F23760" w:rsidRPr="00F23760" w14:paraId="3A5690FF" w14:textId="77777777" w:rsidTr="00F23760">
        <w:trPr>
          <w:trHeight w:val="307"/>
        </w:trPr>
        <w:tc>
          <w:tcPr>
            <w:tcW w:w="0" w:type="auto"/>
            <w:tcBorders>
              <w:top w:val="nil"/>
              <w:left w:val="nil"/>
              <w:bottom w:val="nil"/>
              <w:right w:val="nil"/>
            </w:tcBorders>
            <w:shd w:val="clear" w:color="auto" w:fill="auto"/>
            <w:noWrap/>
            <w:hideMark/>
          </w:tcPr>
          <w:p w14:paraId="02C4BBD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t-2</w:t>
            </w:r>
          </w:p>
        </w:tc>
        <w:tc>
          <w:tcPr>
            <w:tcW w:w="0" w:type="auto"/>
            <w:tcBorders>
              <w:top w:val="nil"/>
              <w:left w:val="nil"/>
              <w:bottom w:val="nil"/>
              <w:right w:val="nil"/>
            </w:tcBorders>
            <w:shd w:val="clear" w:color="auto" w:fill="auto"/>
            <w:noWrap/>
            <w:hideMark/>
          </w:tcPr>
          <w:p w14:paraId="5066D7B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46F1C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05AD8C0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E1791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(0.32)</w:t>
            </w:r>
          </w:p>
        </w:tc>
        <w:tc>
          <w:tcPr>
            <w:tcW w:w="0" w:type="auto"/>
            <w:tcBorders>
              <w:top w:val="nil"/>
              <w:left w:val="nil"/>
              <w:bottom w:val="nil"/>
              <w:right w:val="nil"/>
            </w:tcBorders>
            <w:shd w:val="clear" w:color="auto" w:fill="auto"/>
            <w:noWrap/>
            <w:hideMark/>
          </w:tcPr>
          <w:p w14:paraId="7DEFB9C0"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0B5FCBF"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-0.0881</w:t>
            </w:r>
          </w:p>
        </w:tc>
        <w:tc>
          <w:tcPr>
            <w:tcW w:w="0" w:type="auto"/>
            <w:tcBorders>
              <w:top w:val="nil"/>
              <w:left w:val="nil"/>
              <w:bottom w:val="nil"/>
              <w:right w:val="nil"/>
            </w:tcBorders>
            <w:shd w:val="clear" w:color="auto" w:fill="auto"/>
            <w:noWrap/>
            <w:vAlign w:val="center"/>
            <w:hideMark/>
          </w:tcPr>
          <w:p w14:paraId="10AE314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05A587C7"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(-0.85)</w:t>
            </w:r>
          </w:p>
        </w:tc>
      </w:tr>
      <w:tr w:rsidR="00F23760" w:rsidRPr="00F23760" w14:paraId="3321B5A8" w14:textId="77777777" w:rsidTr="00F23760">
        <w:trPr>
          <w:trHeight w:val="263"/>
        </w:trPr>
        <w:tc>
          <w:tcPr>
            <w:tcW w:w="0" w:type="auto"/>
            <w:tcBorders>
              <w:top w:val="nil"/>
              <w:left w:val="nil"/>
              <w:bottom w:val="nil"/>
              <w:right w:val="nil"/>
            </w:tcBorders>
            <w:shd w:val="clear" w:color="auto" w:fill="auto"/>
            <w:noWrap/>
            <w:hideMark/>
          </w:tcPr>
          <w:p w14:paraId="260546D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7BE639"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3BE80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-0.1643</w:t>
            </w:r>
          </w:p>
        </w:tc>
        <w:tc>
          <w:tcPr>
            <w:tcW w:w="0" w:type="auto"/>
            <w:tcBorders>
              <w:top w:val="nil"/>
              <w:left w:val="nil"/>
              <w:bottom w:val="nil"/>
              <w:right w:val="nil"/>
            </w:tcBorders>
            <w:shd w:val="clear" w:color="auto" w:fill="auto"/>
            <w:noWrap/>
            <w:vAlign w:val="center"/>
            <w:hideMark/>
          </w:tcPr>
          <w:p w14:paraId="1C4248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5E9701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(-4.43)</w:t>
            </w:r>
          </w:p>
        </w:tc>
        <w:tc>
          <w:tcPr>
            <w:tcW w:w="0" w:type="auto"/>
            <w:tcBorders>
              <w:top w:val="nil"/>
              <w:left w:val="nil"/>
              <w:bottom w:val="nil"/>
              <w:right w:val="nil"/>
            </w:tcBorders>
            <w:shd w:val="clear" w:color="auto" w:fill="auto"/>
            <w:noWrap/>
            <w:hideMark/>
          </w:tcPr>
          <w:p w14:paraId="577E7BF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5DF5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-0.6359</w:t>
            </w:r>
          </w:p>
        </w:tc>
        <w:tc>
          <w:tcPr>
            <w:tcW w:w="0" w:type="auto"/>
            <w:tcBorders>
              <w:top w:val="nil"/>
              <w:left w:val="nil"/>
              <w:bottom w:val="nil"/>
              <w:right w:val="nil"/>
            </w:tcBorders>
            <w:shd w:val="clear" w:color="auto" w:fill="auto"/>
            <w:noWrap/>
            <w:vAlign w:val="center"/>
            <w:hideMark/>
          </w:tcPr>
          <w:p w14:paraId="2135B9B7"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22624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(-3.17)</w:t>
            </w:r>
          </w:p>
        </w:tc>
      </w:tr>
      <w:tr w:rsidR="00F23760" w:rsidRPr="00F23760" w14:paraId="06D9043D" w14:textId="77777777" w:rsidTr="00F23760">
        <w:trPr>
          <w:trHeight w:val="263"/>
        </w:trPr>
        <w:tc>
          <w:tcPr>
            <w:tcW w:w="0" w:type="auto"/>
            <w:tcBorders>
              <w:top w:val="nil"/>
              <w:left w:val="nil"/>
              <w:bottom w:val="nil"/>
              <w:right w:val="nil"/>
            </w:tcBorders>
            <w:shd w:val="clear" w:color="auto" w:fill="auto"/>
            <w:noWrap/>
            <w:hideMark/>
          </w:tcPr>
          <w:p w14:paraId="2F42C2C7"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2F37107B"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E7FFD6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3F290D2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EAFFA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(1.13)</w:t>
            </w:r>
          </w:p>
        </w:tc>
        <w:tc>
          <w:tcPr>
            <w:tcW w:w="0" w:type="auto"/>
            <w:tcBorders>
              <w:top w:val="nil"/>
              <w:left w:val="nil"/>
              <w:bottom w:val="nil"/>
              <w:right w:val="nil"/>
            </w:tcBorders>
            <w:shd w:val="clear" w:color="auto" w:fill="auto"/>
            <w:noWrap/>
            <w:hideMark/>
          </w:tcPr>
          <w:p w14:paraId="665EFCD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15B28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noWrap/>
            <w:vAlign w:val="center"/>
            <w:hideMark/>
          </w:tcPr>
          <w:p w14:paraId="0C6E74E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488956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(0.74)</w:t>
            </w:r>
          </w:p>
        </w:tc>
      </w:tr>
      <w:tr w:rsidR="00F23760" w:rsidRPr="00F23760" w14:paraId="78EC4B49" w14:textId="77777777" w:rsidTr="00F23760">
        <w:trPr>
          <w:trHeight w:val="263"/>
        </w:trPr>
        <w:tc>
          <w:tcPr>
            <w:tcW w:w="0" w:type="auto"/>
            <w:tcBorders>
              <w:top w:val="nil"/>
              <w:left w:val="nil"/>
              <w:bottom w:val="nil"/>
              <w:right w:val="nil"/>
            </w:tcBorders>
            <w:shd w:val="clear" w:color="auto" w:fill="auto"/>
            <w:noWrap/>
            <w:hideMark/>
          </w:tcPr>
          <w:p w14:paraId="4E844DE2"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4ACBA02"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168AF9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1.0712</w:t>
            </w:r>
          </w:p>
        </w:tc>
        <w:tc>
          <w:tcPr>
            <w:tcW w:w="0" w:type="auto"/>
            <w:tcBorders>
              <w:top w:val="nil"/>
              <w:left w:val="nil"/>
              <w:bottom w:val="nil"/>
              <w:right w:val="nil"/>
            </w:tcBorders>
            <w:shd w:val="clear" w:color="auto" w:fill="auto"/>
            <w:noWrap/>
            <w:vAlign w:val="center"/>
            <w:hideMark/>
          </w:tcPr>
          <w:p w14:paraId="182473DF"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7DE0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(4.04)</w:t>
            </w:r>
          </w:p>
        </w:tc>
        <w:tc>
          <w:tcPr>
            <w:tcW w:w="0" w:type="auto"/>
            <w:tcBorders>
              <w:top w:val="nil"/>
              <w:left w:val="nil"/>
              <w:bottom w:val="nil"/>
              <w:right w:val="nil"/>
            </w:tcBorders>
            <w:shd w:val="clear" w:color="auto" w:fill="auto"/>
            <w:noWrap/>
            <w:hideMark/>
          </w:tcPr>
          <w:p w14:paraId="7D27861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505FC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-1.4469</w:t>
            </w:r>
          </w:p>
        </w:tc>
        <w:tc>
          <w:tcPr>
            <w:tcW w:w="0" w:type="auto"/>
            <w:tcBorders>
              <w:top w:val="nil"/>
              <w:left w:val="nil"/>
              <w:bottom w:val="nil"/>
              <w:right w:val="nil"/>
            </w:tcBorders>
            <w:shd w:val="clear" w:color="auto" w:fill="auto"/>
            <w:noWrap/>
            <w:vAlign w:val="center"/>
            <w:hideMark/>
          </w:tcPr>
          <w:p w14:paraId="5677F28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2A0ABD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(-1.00)</w:t>
            </w:r>
          </w:p>
        </w:tc>
      </w:tr>
      <w:tr w:rsidR="00F23760" w:rsidRPr="00F23760" w14:paraId="6BAA5611" w14:textId="77777777" w:rsidTr="00F23760">
        <w:trPr>
          <w:trHeight w:val="263"/>
        </w:trPr>
        <w:tc>
          <w:tcPr>
            <w:tcW w:w="0" w:type="auto"/>
            <w:tcBorders>
              <w:top w:val="nil"/>
              <w:left w:val="nil"/>
              <w:bottom w:val="nil"/>
              <w:right w:val="nil"/>
            </w:tcBorders>
            <w:shd w:val="clear" w:color="auto" w:fill="auto"/>
            <w:noWrap/>
            <w:hideMark/>
          </w:tcPr>
          <w:p w14:paraId="1C1131F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AB6DA1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D8E2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0.1327</w:t>
            </w:r>
          </w:p>
        </w:tc>
        <w:tc>
          <w:tcPr>
            <w:tcW w:w="0" w:type="auto"/>
            <w:tcBorders>
              <w:top w:val="nil"/>
              <w:left w:val="nil"/>
              <w:bottom w:val="nil"/>
              <w:right w:val="nil"/>
            </w:tcBorders>
            <w:shd w:val="clear" w:color="auto" w:fill="auto"/>
            <w:noWrap/>
            <w:vAlign w:val="center"/>
            <w:hideMark/>
          </w:tcPr>
          <w:p w14:paraId="227E823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55410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63ABADD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38C8D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-1.2637</w:t>
            </w:r>
          </w:p>
        </w:tc>
        <w:tc>
          <w:tcPr>
            <w:tcW w:w="0" w:type="auto"/>
            <w:tcBorders>
              <w:top w:val="nil"/>
              <w:left w:val="nil"/>
              <w:bottom w:val="nil"/>
              <w:right w:val="nil"/>
            </w:tcBorders>
            <w:shd w:val="clear" w:color="auto" w:fill="auto"/>
            <w:noWrap/>
            <w:vAlign w:val="center"/>
            <w:hideMark/>
          </w:tcPr>
          <w:p w14:paraId="397E326E"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617AA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(-2.07)</w:t>
            </w:r>
          </w:p>
        </w:tc>
      </w:tr>
      <w:tr w:rsidR="00F23760" w:rsidRPr="00F23760" w14:paraId="3BA84922" w14:textId="77777777" w:rsidTr="00F23760">
        <w:trPr>
          <w:trHeight w:val="263"/>
        </w:trPr>
        <w:tc>
          <w:tcPr>
            <w:tcW w:w="0" w:type="auto"/>
            <w:tcBorders>
              <w:top w:val="nil"/>
              <w:left w:val="nil"/>
              <w:bottom w:val="nil"/>
              <w:right w:val="nil"/>
            </w:tcBorders>
            <w:shd w:val="clear" w:color="auto" w:fill="auto"/>
            <w:noWrap/>
            <w:hideMark/>
          </w:tcPr>
          <w:p w14:paraId="00B4B361"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F52449D"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21F139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-2.3426</w:t>
            </w:r>
          </w:p>
        </w:tc>
        <w:tc>
          <w:tcPr>
            <w:tcW w:w="0" w:type="auto"/>
            <w:tcBorders>
              <w:top w:val="nil"/>
              <w:left w:val="nil"/>
              <w:bottom w:val="nil"/>
              <w:right w:val="nil"/>
            </w:tcBorders>
            <w:shd w:val="clear" w:color="auto" w:fill="auto"/>
            <w:noWrap/>
            <w:vAlign w:val="center"/>
            <w:hideMark/>
          </w:tcPr>
          <w:p w14:paraId="7D3FD4B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4D184C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(-1.25)</w:t>
            </w:r>
          </w:p>
        </w:tc>
        <w:tc>
          <w:tcPr>
            <w:tcW w:w="0" w:type="auto"/>
            <w:tcBorders>
              <w:top w:val="nil"/>
              <w:left w:val="nil"/>
              <w:bottom w:val="nil"/>
              <w:right w:val="nil"/>
            </w:tcBorders>
            <w:shd w:val="clear" w:color="auto" w:fill="auto"/>
            <w:noWrap/>
            <w:hideMark/>
          </w:tcPr>
          <w:p w14:paraId="44DEE5D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50B8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-1.077</w:t>
            </w:r>
          </w:p>
        </w:tc>
        <w:tc>
          <w:tcPr>
            <w:tcW w:w="0" w:type="auto"/>
            <w:tcBorders>
              <w:top w:val="nil"/>
              <w:left w:val="nil"/>
              <w:bottom w:val="nil"/>
              <w:right w:val="nil"/>
            </w:tcBorders>
            <w:shd w:val="clear" w:color="auto" w:fill="auto"/>
            <w:noWrap/>
            <w:vAlign w:val="center"/>
            <w:hideMark/>
          </w:tcPr>
          <w:p w14:paraId="46381561"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99142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(-0.10)</w:t>
            </w:r>
          </w:p>
        </w:tc>
      </w:tr>
      <w:tr w:rsidR="00F23760" w:rsidRPr="00F23760" w14:paraId="007D7DEF" w14:textId="77777777" w:rsidTr="00F23760">
        <w:trPr>
          <w:trHeight w:val="263"/>
        </w:trPr>
        <w:tc>
          <w:tcPr>
            <w:tcW w:w="0" w:type="auto"/>
            <w:tcBorders>
              <w:top w:val="nil"/>
              <w:left w:val="nil"/>
              <w:bottom w:val="nil"/>
              <w:right w:val="nil"/>
            </w:tcBorders>
            <w:shd w:val="clear" w:color="auto" w:fill="auto"/>
            <w:noWrap/>
            <w:hideMark/>
          </w:tcPr>
          <w:p w14:paraId="420A7325"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5F02B75"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9BFF9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24C9EC9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186E6C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5F502C6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1C4F3B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0.0394</w:t>
            </w:r>
          </w:p>
        </w:tc>
        <w:tc>
          <w:tcPr>
            <w:tcW w:w="0" w:type="auto"/>
            <w:tcBorders>
              <w:top w:val="nil"/>
              <w:left w:val="nil"/>
              <w:bottom w:val="nil"/>
              <w:right w:val="nil"/>
            </w:tcBorders>
            <w:shd w:val="clear" w:color="auto" w:fill="auto"/>
            <w:noWrap/>
            <w:vAlign w:val="center"/>
            <w:hideMark/>
          </w:tcPr>
          <w:p w14:paraId="1BC59995"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A1992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(2.11)</w:t>
            </w:r>
          </w:p>
        </w:tc>
      </w:tr>
      <w:tr w:rsidR="00F23760" w:rsidRPr="00F23760" w14:paraId="2F6BB271" w14:textId="77777777" w:rsidTr="00F23760">
        <w:trPr>
          <w:trHeight w:val="263"/>
        </w:trPr>
        <w:tc>
          <w:tcPr>
            <w:tcW w:w="0" w:type="auto"/>
            <w:tcBorders>
              <w:top w:val="nil"/>
              <w:left w:val="nil"/>
              <w:bottom w:val="nil"/>
              <w:right w:val="nil"/>
            </w:tcBorders>
            <w:shd w:val="clear" w:color="auto" w:fill="auto"/>
            <w:noWrap/>
            <w:hideMark/>
          </w:tcPr>
          <w:p w14:paraId="6954EA9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79B8F94C"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4840DE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-1.6840</w:t>
            </w:r>
          </w:p>
        </w:tc>
        <w:tc>
          <w:tcPr>
            <w:tcW w:w="0" w:type="auto"/>
            <w:tcBorders>
              <w:top w:val="nil"/>
              <w:left w:val="nil"/>
              <w:bottom w:val="nil"/>
              <w:right w:val="nil"/>
            </w:tcBorders>
            <w:shd w:val="clear" w:color="auto" w:fill="auto"/>
            <w:noWrap/>
            <w:vAlign w:val="center"/>
            <w:hideMark/>
          </w:tcPr>
          <w:p w14:paraId="7BAD8B2A"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C0C54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(-9.89)</w:t>
            </w:r>
          </w:p>
        </w:tc>
        <w:tc>
          <w:tcPr>
            <w:tcW w:w="0" w:type="auto"/>
            <w:tcBorders>
              <w:top w:val="nil"/>
              <w:left w:val="nil"/>
              <w:bottom w:val="nil"/>
              <w:right w:val="nil"/>
            </w:tcBorders>
            <w:shd w:val="clear" w:color="auto" w:fill="auto"/>
            <w:noWrap/>
            <w:hideMark/>
          </w:tcPr>
          <w:p w14:paraId="3D5D8B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8C1D6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2.0890</w:t>
            </w:r>
          </w:p>
        </w:tc>
        <w:tc>
          <w:tcPr>
            <w:tcW w:w="0" w:type="auto"/>
            <w:tcBorders>
              <w:top w:val="nil"/>
              <w:left w:val="nil"/>
              <w:bottom w:val="nil"/>
              <w:right w:val="nil"/>
            </w:tcBorders>
            <w:shd w:val="clear" w:color="auto" w:fill="auto"/>
            <w:noWrap/>
            <w:vAlign w:val="center"/>
            <w:hideMark/>
          </w:tcPr>
          <w:p w14:paraId="4F5A95B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2DA6F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(2.12)</w:t>
            </w:r>
          </w:p>
        </w:tc>
      </w:tr>
      <w:tr w:rsidR="00F23760" w:rsidRPr="00F23760" w14:paraId="36B4AD0D" w14:textId="77777777" w:rsidTr="00F23760">
        <w:trPr>
          <w:trHeight w:val="263"/>
        </w:trPr>
        <w:tc>
          <w:tcPr>
            <w:tcW w:w="0" w:type="auto"/>
            <w:tcBorders>
              <w:top w:val="nil"/>
              <w:left w:val="nil"/>
              <w:bottom w:val="nil"/>
              <w:right w:val="nil"/>
            </w:tcBorders>
            <w:shd w:val="clear" w:color="auto" w:fill="auto"/>
            <w:noWrap/>
            <w:hideMark/>
          </w:tcPr>
          <w:p w14:paraId="51A968EC"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B2B17B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F39126E"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-0.6631</w:t>
            </w:r>
          </w:p>
        </w:tc>
        <w:tc>
          <w:tcPr>
            <w:tcW w:w="0" w:type="auto"/>
            <w:tcBorders>
              <w:top w:val="nil"/>
              <w:left w:val="nil"/>
              <w:bottom w:val="nil"/>
              <w:right w:val="nil"/>
            </w:tcBorders>
            <w:shd w:val="clear" w:color="auto" w:fill="auto"/>
            <w:noWrap/>
            <w:vAlign w:val="center"/>
            <w:hideMark/>
          </w:tcPr>
          <w:p w14:paraId="7B84EF15"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D4F2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4574DF7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DF5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13.5373</w:t>
            </w:r>
          </w:p>
        </w:tc>
        <w:tc>
          <w:tcPr>
            <w:tcW w:w="0" w:type="auto"/>
            <w:tcBorders>
              <w:top w:val="nil"/>
              <w:left w:val="nil"/>
              <w:bottom w:val="nil"/>
              <w:right w:val="nil"/>
            </w:tcBorders>
            <w:shd w:val="clear" w:color="auto" w:fill="auto"/>
            <w:noWrap/>
            <w:vAlign w:val="center"/>
            <w:hideMark/>
          </w:tcPr>
          <w:p w14:paraId="3FB8D96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7A2A4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(1.24)</w:t>
            </w:r>
          </w:p>
        </w:tc>
      </w:tr>
      <w:tr w:rsidR="00F23760" w:rsidRPr="00F23760" w14:paraId="4A1D5425" w14:textId="77777777" w:rsidTr="00F23760">
        <w:trPr>
          <w:trHeight w:val="263"/>
        </w:trPr>
        <w:tc>
          <w:tcPr>
            <w:tcW w:w="0" w:type="auto"/>
            <w:tcBorders>
              <w:top w:val="nil"/>
              <w:left w:val="nil"/>
              <w:bottom w:val="nil"/>
              <w:right w:val="nil"/>
            </w:tcBorders>
            <w:shd w:val="clear" w:color="auto" w:fill="auto"/>
            <w:noWrap/>
            <w:hideMark/>
          </w:tcPr>
          <w:p w14:paraId="4C5F9B9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E10830"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7603D77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2.7766</w:t>
            </w:r>
          </w:p>
        </w:tc>
        <w:tc>
          <w:tcPr>
            <w:tcW w:w="0" w:type="auto"/>
            <w:tcBorders>
              <w:top w:val="nil"/>
              <w:left w:val="nil"/>
              <w:bottom w:val="nil"/>
              <w:right w:val="nil"/>
            </w:tcBorders>
            <w:shd w:val="clear" w:color="auto" w:fill="auto"/>
            <w:noWrap/>
            <w:vAlign w:val="center"/>
            <w:hideMark/>
          </w:tcPr>
          <w:p w14:paraId="0C6E4C7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7785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(0.91)</w:t>
            </w:r>
          </w:p>
        </w:tc>
        <w:tc>
          <w:tcPr>
            <w:tcW w:w="0" w:type="auto"/>
            <w:tcBorders>
              <w:top w:val="nil"/>
              <w:left w:val="nil"/>
              <w:bottom w:val="nil"/>
              <w:right w:val="nil"/>
            </w:tcBorders>
            <w:shd w:val="clear" w:color="auto" w:fill="auto"/>
            <w:noWrap/>
            <w:hideMark/>
          </w:tcPr>
          <w:p w14:paraId="4A4018A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FDC8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-10.4736</w:t>
            </w:r>
          </w:p>
        </w:tc>
        <w:tc>
          <w:tcPr>
            <w:tcW w:w="0" w:type="auto"/>
            <w:tcBorders>
              <w:top w:val="nil"/>
              <w:left w:val="nil"/>
              <w:bottom w:val="nil"/>
              <w:right w:val="nil"/>
            </w:tcBorders>
            <w:shd w:val="clear" w:color="auto" w:fill="auto"/>
            <w:noWrap/>
            <w:vAlign w:val="center"/>
            <w:hideMark/>
          </w:tcPr>
          <w:p w14:paraId="7E0D6B6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3DDAC0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(-0.57)</w:t>
            </w:r>
          </w:p>
        </w:tc>
      </w:tr>
      <w:tr w:rsidR="00F23760" w:rsidRPr="00F23760" w14:paraId="4F8DDEC5" w14:textId="77777777" w:rsidTr="00F23760">
        <w:trPr>
          <w:trHeight w:val="263"/>
        </w:trPr>
        <w:tc>
          <w:tcPr>
            <w:tcW w:w="0" w:type="auto"/>
            <w:tcBorders>
              <w:top w:val="nil"/>
              <w:left w:val="nil"/>
              <w:bottom w:val="nil"/>
              <w:right w:val="nil"/>
            </w:tcBorders>
            <w:shd w:val="clear" w:color="auto" w:fill="auto"/>
            <w:noWrap/>
            <w:hideMark/>
          </w:tcPr>
          <w:p w14:paraId="6231F3D8"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31648E98"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BF30F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6C7369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865996"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4278657"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B598FF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5F416A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016A392"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2E66A8F" w14:textId="77777777" w:rsidTr="00F23760">
        <w:trPr>
          <w:trHeight w:val="263"/>
        </w:trPr>
        <w:tc>
          <w:tcPr>
            <w:tcW w:w="0" w:type="auto"/>
            <w:tcBorders>
              <w:top w:val="nil"/>
              <w:left w:val="nil"/>
              <w:bottom w:val="nil"/>
              <w:right w:val="nil"/>
            </w:tcBorders>
            <w:shd w:val="clear" w:color="auto" w:fill="auto"/>
            <w:noWrap/>
            <w:hideMark/>
          </w:tcPr>
          <w:p w14:paraId="10A8176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i/>
                <w:iCs/>
                <w:color w:val="000000"/>
              </w:rPr>
              <w:t>Chi-square</w:t>
            </w:r>
            <w:r w:rsidRPr="00F23760">
              <w:rPr>
                <w:rFonts w:ascii="Times New Roman" w:eastAsia="Times New Roman" w:hAnsi="Times New Roman" w:cs="Times New Roman"/>
                <w:color w:val="000000"/>
              </w:rPr>
              <w:t xml:space="preserve"> test: </w:t>
            </w:r>
          </w:p>
        </w:tc>
        <w:tc>
          <w:tcPr>
            <w:tcW w:w="0" w:type="auto"/>
            <w:tcBorders>
              <w:top w:val="nil"/>
              <w:left w:val="nil"/>
              <w:bottom w:val="nil"/>
              <w:right w:val="nil"/>
            </w:tcBorders>
            <w:shd w:val="clear" w:color="auto" w:fill="auto"/>
            <w:noWrap/>
            <w:hideMark/>
          </w:tcPr>
          <w:p w14:paraId="1B96196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59D94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F1C74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B77792A"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700FD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1C3478"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C15D47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C855A4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43FDA977" w14:textId="77777777" w:rsidTr="00F23760">
        <w:trPr>
          <w:trHeight w:val="302"/>
        </w:trPr>
        <w:tc>
          <w:tcPr>
            <w:tcW w:w="0" w:type="auto"/>
            <w:tcBorders>
              <w:top w:val="nil"/>
              <w:left w:val="nil"/>
              <w:bottom w:val="nil"/>
              <w:right w:val="nil"/>
            </w:tcBorders>
            <w:shd w:val="clear" w:color="auto" w:fill="auto"/>
            <w:noWrap/>
            <w:hideMark/>
          </w:tcPr>
          <w:p w14:paraId="7C92AC1D"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CONSER</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CONSER</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21E1CF4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ED951E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5.020</w:t>
            </w:r>
          </w:p>
        </w:tc>
        <w:tc>
          <w:tcPr>
            <w:tcW w:w="0" w:type="auto"/>
            <w:tcBorders>
              <w:top w:val="nil"/>
              <w:left w:val="nil"/>
              <w:bottom w:val="nil"/>
              <w:right w:val="nil"/>
            </w:tcBorders>
            <w:shd w:val="clear" w:color="auto" w:fill="auto"/>
            <w:noWrap/>
            <w:vAlign w:val="bottom"/>
            <w:hideMark/>
          </w:tcPr>
          <w:p w14:paraId="2228ABF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D5B006D"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72BFE3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DC42253"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865B9B9"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192B38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59FC895E" w14:textId="77777777" w:rsidTr="00F23760">
        <w:trPr>
          <w:trHeight w:val="263"/>
        </w:trPr>
        <w:tc>
          <w:tcPr>
            <w:tcW w:w="0" w:type="auto"/>
            <w:tcBorders>
              <w:top w:val="nil"/>
              <w:left w:val="nil"/>
              <w:bottom w:val="nil"/>
              <w:right w:val="nil"/>
            </w:tcBorders>
            <w:shd w:val="clear" w:color="auto" w:fill="auto"/>
            <w:noWrap/>
            <w:hideMark/>
          </w:tcPr>
          <w:p w14:paraId="755B244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48AAC47"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FFF18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0.0251</w:t>
            </w:r>
          </w:p>
        </w:tc>
        <w:tc>
          <w:tcPr>
            <w:tcW w:w="0" w:type="auto"/>
            <w:tcBorders>
              <w:top w:val="nil"/>
              <w:left w:val="nil"/>
              <w:bottom w:val="nil"/>
              <w:right w:val="nil"/>
            </w:tcBorders>
            <w:shd w:val="clear" w:color="auto" w:fill="auto"/>
            <w:noWrap/>
            <w:vAlign w:val="bottom"/>
            <w:hideMark/>
          </w:tcPr>
          <w:p w14:paraId="73E21B7D" w14:textId="77777777" w:rsidR="00F23760" w:rsidRPr="00F23760" w:rsidRDefault="00F23760" w:rsidP="00F23760">
            <w:pPr>
              <w:rPr>
                <w:rFonts w:eastAsia="Times New Roman"/>
                <w:color w:val="000000"/>
              </w:rPr>
            </w:pPr>
            <w:r w:rsidRPr="00F23760">
              <w:rPr>
                <w:rFonts w:eastAsia="Times New Roman"/>
                <w:color w:val="000000"/>
              </w:rPr>
              <w:t>**</w:t>
            </w:r>
          </w:p>
        </w:tc>
        <w:tc>
          <w:tcPr>
            <w:tcW w:w="0" w:type="auto"/>
            <w:tcBorders>
              <w:top w:val="nil"/>
              <w:left w:val="nil"/>
              <w:bottom w:val="nil"/>
              <w:right w:val="nil"/>
            </w:tcBorders>
            <w:shd w:val="clear" w:color="auto" w:fill="auto"/>
            <w:noWrap/>
            <w:vAlign w:val="bottom"/>
            <w:hideMark/>
          </w:tcPr>
          <w:p w14:paraId="44457AE1" w14:textId="77777777" w:rsidR="00F23760" w:rsidRPr="00F23760" w:rsidRDefault="00F23760" w:rsidP="00F23760">
            <w:pPr>
              <w:rPr>
                <w:rFonts w:eastAsia="Times New Roman"/>
                <w:color w:val="000000"/>
              </w:rPr>
            </w:pPr>
          </w:p>
        </w:tc>
        <w:tc>
          <w:tcPr>
            <w:tcW w:w="0" w:type="auto"/>
            <w:tcBorders>
              <w:top w:val="nil"/>
              <w:left w:val="nil"/>
              <w:bottom w:val="nil"/>
              <w:right w:val="nil"/>
            </w:tcBorders>
            <w:shd w:val="clear" w:color="auto" w:fill="auto"/>
            <w:noWrap/>
            <w:vAlign w:val="bottom"/>
            <w:hideMark/>
          </w:tcPr>
          <w:p w14:paraId="3887D5F1"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E274DF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4E737FA"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55B4896"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6C057CF9" w14:textId="77777777" w:rsidTr="00F23760">
        <w:trPr>
          <w:trHeight w:val="302"/>
        </w:trPr>
        <w:tc>
          <w:tcPr>
            <w:tcW w:w="0" w:type="auto"/>
            <w:gridSpan w:val="2"/>
            <w:tcBorders>
              <w:top w:val="nil"/>
              <w:left w:val="nil"/>
              <w:bottom w:val="nil"/>
              <w:right w:val="nil"/>
            </w:tcBorders>
            <w:shd w:val="clear" w:color="auto" w:fill="auto"/>
            <w:noWrap/>
            <w:hideMark/>
          </w:tcPr>
          <w:p w14:paraId="482EC40C" w14:textId="601441B3"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FWDLOOK</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FWDLOOK</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4523E596"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vAlign w:val="bottom"/>
            <w:hideMark/>
          </w:tcPr>
          <w:p w14:paraId="0D2B948C"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BEE654C"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B0F56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6C3D76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1.990</w:t>
            </w:r>
          </w:p>
        </w:tc>
        <w:tc>
          <w:tcPr>
            <w:tcW w:w="0" w:type="auto"/>
            <w:tcBorders>
              <w:top w:val="nil"/>
              <w:left w:val="nil"/>
              <w:bottom w:val="nil"/>
              <w:right w:val="nil"/>
            </w:tcBorders>
            <w:shd w:val="clear" w:color="auto" w:fill="auto"/>
            <w:noWrap/>
            <w:vAlign w:val="bottom"/>
            <w:hideMark/>
          </w:tcPr>
          <w:p w14:paraId="722C23F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26DDEB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D046758" w14:textId="77777777" w:rsidTr="00F23760">
        <w:trPr>
          <w:trHeight w:val="263"/>
        </w:trPr>
        <w:tc>
          <w:tcPr>
            <w:tcW w:w="0" w:type="auto"/>
            <w:tcBorders>
              <w:top w:val="nil"/>
              <w:left w:val="nil"/>
              <w:bottom w:val="nil"/>
              <w:right w:val="nil"/>
            </w:tcBorders>
            <w:shd w:val="clear" w:color="auto" w:fill="auto"/>
            <w:noWrap/>
            <w:hideMark/>
          </w:tcPr>
          <w:p w14:paraId="299857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66F9B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75BE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CDD1551"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88795F2"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49056B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205C1A6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0.1582</w:t>
            </w:r>
          </w:p>
        </w:tc>
        <w:tc>
          <w:tcPr>
            <w:tcW w:w="0" w:type="auto"/>
            <w:tcBorders>
              <w:top w:val="nil"/>
              <w:left w:val="nil"/>
              <w:bottom w:val="nil"/>
              <w:right w:val="nil"/>
            </w:tcBorders>
            <w:shd w:val="clear" w:color="auto" w:fill="auto"/>
            <w:noWrap/>
            <w:vAlign w:val="bottom"/>
            <w:hideMark/>
          </w:tcPr>
          <w:p w14:paraId="086DAC6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27C7E41"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B586CB4" w14:textId="77777777" w:rsidTr="00F23760">
        <w:trPr>
          <w:trHeight w:val="302"/>
        </w:trPr>
        <w:tc>
          <w:tcPr>
            <w:tcW w:w="0" w:type="auto"/>
            <w:tcBorders>
              <w:top w:val="nil"/>
              <w:left w:val="nil"/>
              <w:bottom w:val="nil"/>
              <w:right w:val="nil"/>
            </w:tcBorders>
            <w:shd w:val="clear" w:color="auto" w:fill="auto"/>
            <w:noWrap/>
            <w:vAlign w:val="center"/>
            <w:hideMark/>
          </w:tcPr>
          <w:p w14:paraId="1CFD6BD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Adjusted R</w:t>
            </w:r>
            <w:r w:rsidRPr="00F23760">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center"/>
            <w:hideMark/>
          </w:tcPr>
          <w:p w14:paraId="411E0A64"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88173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11.83%</w:t>
            </w:r>
          </w:p>
        </w:tc>
        <w:tc>
          <w:tcPr>
            <w:tcW w:w="0" w:type="auto"/>
            <w:tcBorders>
              <w:top w:val="nil"/>
              <w:left w:val="nil"/>
              <w:bottom w:val="nil"/>
              <w:right w:val="nil"/>
            </w:tcBorders>
            <w:shd w:val="clear" w:color="auto" w:fill="auto"/>
            <w:noWrap/>
            <w:vAlign w:val="bottom"/>
            <w:hideMark/>
          </w:tcPr>
          <w:p w14:paraId="5939A34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3B006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8BBFDE"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14C8DE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39.03%</w:t>
            </w:r>
          </w:p>
        </w:tc>
        <w:tc>
          <w:tcPr>
            <w:tcW w:w="0" w:type="auto"/>
            <w:tcBorders>
              <w:top w:val="nil"/>
              <w:left w:val="nil"/>
              <w:bottom w:val="nil"/>
              <w:right w:val="nil"/>
            </w:tcBorders>
            <w:shd w:val="clear" w:color="auto" w:fill="auto"/>
            <w:noWrap/>
            <w:vAlign w:val="bottom"/>
            <w:hideMark/>
          </w:tcPr>
          <w:p w14:paraId="50ED94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56B2AD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263311C" w14:textId="77777777" w:rsidTr="00F23760">
        <w:trPr>
          <w:trHeight w:val="269"/>
        </w:trPr>
        <w:tc>
          <w:tcPr>
            <w:tcW w:w="0" w:type="auto"/>
            <w:tcBorders>
              <w:top w:val="nil"/>
              <w:left w:val="nil"/>
              <w:bottom w:val="single" w:sz="8" w:space="0" w:color="auto"/>
              <w:right w:val="nil"/>
            </w:tcBorders>
            <w:shd w:val="clear" w:color="auto" w:fill="auto"/>
            <w:noWrap/>
            <w:vAlign w:val="center"/>
            <w:hideMark/>
          </w:tcPr>
          <w:p w14:paraId="4A4EF80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vAlign w:val="center"/>
            <w:hideMark/>
          </w:tcPr>
          <w:p w14:paraId="528D043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6E6D71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60D680E5"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01BAE7B"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61015DA1"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0C71C52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03A43C16"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EA1DB34" w14:textId="77777777" w:rsidR="00F23760" w:rsidRPr="00F23760" w:rsidRDefault="00F23760" w:rsidP="00F23760">
            <w:pPr>
              <w:rPr>
                <w:rFonts w:eastAsia="Times New Roman"/>
                <w:color w:val="000000"/>
              </w:rPr>
            </w:pPr>
            <w:r w:rsidRPr="00F23760">
              <w:rPr>
                <w:rFonts w:eastAsia="Times New Roman"/>
                <w:color w:val="000000"/>
              </w:rPr>
              <w:t> </w:t>
            </w:r>
          </w:p>
        </w:tc>
      </w:tr>
    </w:tbl>
    <w:p w14:paraId="2807354A" w14:textId="22AF959E" w:rsidR="00D67E68" w:rsidRDefault="00D67E68" w:rsidP="00E712B3">
      <w:pPr>
        <w:autoSpaceDE w:val="0"/>
        <w:autoSpaceDN w:val="0"/>
        <w:adjustRightInd w:val="0"/>
        <w:ind w:right="1253"/>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Notes: This table presents the results from Granger causality tests using the Holtz-Eakin et al. (1988) methodology. Column (1) reports the regression results estimating the effect of accounting conservatism on forward-looking statements. Column (2) reports the regression results estimating the effect of forward-looking statements on accounting conservatism. All the variables are defined in the Appendix. *, **, *** Indicate coefficients that are significant at the 10 percent, 5 percent, and 1 percent levels in the two-tailed tests, respectively.</w:t>
      </w:r>
    </w:p>
    <w:p w14:paraId="3714F49E" w14:textId="3C283734" w:rsidR="00E712B3" w:rsidRDefault="00E712B3">
      <w:pP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2F99B415" w14:textId="77777777"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sectPr w:rsidR="00E712B3" w:rsidSect="00F24078">
          <w:pgSz w:w="15840" w:h="12240" w:orient="landscape"/>
          <w:pgMar w:top="1440" w:right="1267" w:bottom="1440" w:left="1440" w:header="720" w:footer="720" w:gutter="0"/>
          <w:pgBorders w:offsetFrom="page">
            <w:top w:val="single" w:sz="6" w:space="24" w:color="auto"/>
          </w:pgBorders>
          <w:cols w:space="720"/>
          <w:docGrid w:linePitch="360"/>
        </w:sectPr>
      </w:pPr>
    </w:p>
    <w:p w14:paraId="66B7CEA0"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11A9DB04" w14:textId="6E3AF437" w:rsidR="00E712B3" w:rsidRP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sidR="008972C5">
        <w:rPr>
          <w:rFonts w:ascii="Times New Roman" w:eastAsia="Times New Roman" w:hAnsi="Times New Roman" w:cs="Times New Roman"/>
          <w:b/>
          <w:bCs/>
          <w:color w:val="000000"/>
          <w:sz w:val="24"/>
        </w:rPr>
        <w:t>7</w:t>
      </w:r>
    </w:p>
    <w:p w14:paraId="6DDA9457" w14:textId="6E316378"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19BA500" w14:textId="07B0BEA0"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28DB494" w14:textId="27F5FEE7" w:rsidR="008972C5" w:rsidRPr="008972C5" w:rsidRDefault="008972C5" w:rsidP="008972C5">
      <w:pPr>
        <w:autoSpaceDE w:val="0"/>
        <w:autoSpaceDN w:val="0"/>
        <w:adjustRightInd w:val="0"/>
        <w:ind w:left="540" w:hanging="540"/>
        <w:rPr>
          <w:rFonts w:ascii="Times New Roman" w:eastAsia="Times New Roman" w:hAnsi="Times New Roman" w:cs="Times New Roman"/>
          <w:bCs/>
          <w:i/>
          <w:color w:val="000000"/>
          <w:sz w:val="24"/>
        </w:rPr>
      </w:pPr>
      <w:r w:rsidRPr="008972C5">
        <w:rPr>
          <w:rFonts w:ascii="Times New Roman" w:eastAsia="Times New Roman" w:hAnsi="Times New Roman" w:cs="Times New Roman"/>
          <w:bCs/>
          <w:i/>
          <w:color w:val="000000"/>
          <w:sz w:val="24"/>
        </w:rPr>
        <w:t xml:space="preserve">Panel A: Positive- versus Negative-tone </w:t>
      </w:r>
      <w:r w:rsidR="00B14ECE" w:rsidRPr="00B14ECE">
        <w:rPr>
          <w:rFonts w:ascii="Times New Roman" w:eastAsia="Times New Roman" w:hAnsi="Times New Roman" w:cs="Times New Roman"/>
          <w:bCs/>
          <w:i/>
          <w:color w:val="000000"/>
          <w:sz w:val="24"/>
        </w:rPr>
        <w:t>Forward-looking Statements</w:t>
      </w:r>
      <w:r w:rsidR="00B14ECE" w:rsidRPr="00E712B3">
        <w:rPr>
          <w:rFonts w:ascii="Times New Roman" w:eastAsia="Times New Roman" w:hAnsi="Times New Roman" w:cs="Times New Roman"/>
          <w:b/>
          <w:bCs/>
          <w:color w:val="000000"/>
          <w:sz w:val="24"/>
        </w:rPr>
        <w:t xml:space="preserve"> </w:t>
      </w:r>
      <w:r w:rsidR="00B14ECE">
        <w:rPr>
          <w:rFonts w:ascii="Times New Roman" w:eastAsia="Times New Roman" w:hAnsi="Times New Roman" w:cs="Times New Roman"/>
          <w:b/>
          <w:bCs/>
          <w:color w:val="000000"/>
          <w:sz w:val="24"/>
        </w:rPr>
        <w:t xml:space="preserve"> </w:t>
      </w:r>
    </w:p>
    <w:tbl>
      <w:tblPr>
        <w:tblW w:w="9145" w:type="dxa"/>
        <w:tblLook w:val="04A0" w:firstRow="1" w:lastRow="0" w:firstColumn="1" w:lastColumn="0" w:noHBand="0" w:noVBand="1"/>
      </w:tblPr>
      <w:tblGrid>
        <w:gridCol w:w="2709"/>
        <w:gridCol w:w="1411"/>
        <w:gridCol w:w="703"/>
        <w:gridCol w:w="1104"/>
        <w:gridCol w:w="1411"/>
        <w:gridCol w:w="703"/>
        <w:gridCol w:w="1104"/>
      </w:tblGrid>
      <w:tr w:rsidR="00E712B3" w:rsidRPr="00E712B3" w14:paraId="4BF1DC77" w14:textId="77777777" w:rsidTr="00E712B3">
        <w:trPr>
          <w:trHeight w:val="280"/>
        </w:trPr>
        <w:tc>
          <w:tcPr>
            <w:tcW w:w="0" w:type="auto"/>
            <w:tcBorders>
              <w:top w:val="single" w:sz="4" w:space="0" w:color="auto"/>
              <w:left w:val="nil"/>
              <w:bottom w:val="single" w:sz="4" w:space="0" w:color="auto"/>
              <w:right w:val="nil"/>
            </w:tcBorders>
            <w:shd w:val="clear" w:color="auto" w:fill="auto"/>
            <w:noWrap/>
            <w:vAlign w:val="center"/>
            <w:hideMark/>
          </w:tcPr>
          <w:p w14:paraId="3A612F6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3D651C4C"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POS_FWLs</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6AFB762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NEG_FWLs</w:t>
            </w:r>
          </w:p>
        </w:tc>
      </w:tr>
      <w:tr w:rsidR="00E712B3" w:rsidRPr="00E712B3" w14:paraId="7C9F7690" w14:textId="77777777" w:rsidTr="00E712B3">
        <w:trPr>
          <w:trHeight w:val="280"/>
        </w:trPr>
        <w:tc>
          <w:tcPr>
            <w:tcW w:w="0" w:type="auto"/>
            <w:tcBorders>
              <w:top w:val="nil"/>
              <w:left w:val="nil"/>
              <w:bottom w:val="nil"/>
              <w:right w:val="nil"/>
            </w:tcBorders>
            <w:shd w:val="clear" w:color="auto" w:fill="auto"/>
            <w:noWrap/>
            <w:vAlign w:val="bottom"/>
            <w:hideMark/>
          </w:tcPr>
          <w:p w14:paraId="18A39095" w14:textId="77777777" w:rsidR="00E712B3" w:rsidRPr="00E712B3" w:rsidRDefault="00E712B3" w:rsidP="00E712B3">
            <w:pPr>
              <w:jc w:val="center"/>
              <w:rPr>
                <w:rFonts w:ascii="Times New Roman" w:eastAsia="Times New Roman" w:hAnsi="Times New Roman" w:cs="Times New Roman"/>
                <w:b/>
                <w:b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5EE65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35B1AF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2A5EBAB1" w14:textId="77777777" w:rsidTr="00E712B3">
        <w:trPr>
          <w:trHeight w:val="280"/>
        </w:trPr>
        <w:tc>
          <w:tcPr>
            <w:tcW w:w="0" w:type="auto"/>
            <w:tcBorders>
              <w:top w:val="nil"/>
              <w:left w:val="nil"/>
              <w:bottom w:val="single" w:sz="4" w:space="0" w:color="auto"/>
              <w:right w:val="nil"/>
            </w:tcBorders>
            <w:shd w:val="clear" w:color="auto" w:fill="auto"/>
            <w:noWrap/>
            <w:vAlign w:val="bottom"/>
            <w:hideMark/>
          </w:tcPr>
          <w:p w14:paraId="0C945EB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30325D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ACF974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8EA4C8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F871F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DC6C14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CF1914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25567E8E" w14:textId="77777777" w:rsidTr="00E712B3">
        <w:trPr>
          <w:trHeight w:val="280"/>
        </w:trPr>
        <w:tc>
          <w:tcPr>
            <w:tcW w:w="0" w:type="auto"/>
            <w:tcBorders>
              <w:top w:val="nil"/>
              <w:left w:val="nil"/>
              <w:bottom w:val="nil"/>
              <w:right w:val="nil"/>
            </w:tcBorders>
            <w:shd w:val="clear" w:color="auto" w:fill="auto"/>
            <w:noWrap/>
            <w:vAlign w:val="bottom"/>
            <w:hideMark/>
          </w:tcPr>
          <w:p w14:paraId="0F2CDBB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46F6A7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8.2190</w:t>
            </w:r>
          </w:p>
        </w:tc>
        <w:tc>
          <w:tcPr>
            <w:tcW w:w="0" w:type="auto"/>
            <w:tcBorders>
              <w:top w:val="nil"/>
              <w:left w:val="nil"/>
              <w:bottom w:val="nil"/>
              <w:right w:val="nil"/>
            </w:tcBorders>
            <w:shd w:val="clear" w:color="auto" w:fill="auto"/>
            <w:noWrap/>
            <w:vAlign w:val="center"/>
            <w:hideMark/>
          </w:tcPr>
          <w:p w14:paraId="7F8191D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C469A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(15.69)</w:t>
            </w:r>
          </w:p>
        </w:tc>
        <w:tc>
          <w:tcPr>
            <w:tcW w:w="0" w:type="auto"/>
            <w:tcBorders>
              <w:top w:val="nil"/>
              <w:left w:val="nil"/>
              <w:bottom w:val="nil"/>
              <w:right w:val="nil"/>
            </w:tcBorders>
            <w:shd w:val="clear" w:color="auto" w:fill="auto"/>
            <w:noWrap/>
            <w:hideMark/>
          </w:tcPr>
          <w:p w14:paraId="1216EED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5.3111</w:t>
            </w:r>
          </w:p>
        </w:tc>
        <w:tc>
          <w:tcPr>
            <w:tcW w:w="0" w:type="auto"/>
            <w:tcBorders>
              <w:top w:val="nil"/>
              <w:left w:val="nil"/>
              <w:bottom w:val="nil"/>
              <w:right w:val="nil"/>
            </w:tcBorders>
            <w:shd w:val="clear" w:color="auto" w:fill="auto"/>
            <w:noWrap/>
            <w:vAlign w:val="center"/>
            <w:hideMark/>
          </w:tcPr>
          <w:p w14:paraId="14D54B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B1E97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(18.78)</w:t>
            </w:r>
          </w:p>
        </w:tc>
      </w:tr>
      <w:tr w:rsidR="00E712B3" w:rsidRPr="00E712B3" w14:paraId="1476619A" w14:textId="77777777" w:rsidTr="00E712B3">
        <w:trPr>
          <w:trHeight w:val="280"/>
        </w:trPr>
        <w:tc>
          <w:tcPr>
            <w:tcW w:w="0" w:type="auto"/>
            <w:tcBorders>
              <w:top w:val="nil"/>
              <w:left w:val="nil"/>
              <w:bottom w:val="nil"/>
              <w:right w:val="nil"/>
            </w:tcBorders>
            <w:shd w:val="clear" w:color="auto" w:fill="auto"/>
            <w:noWrap/>
            <w:hideMark/>
          </w:tcPr>
          <w:p w14:paraId="0241DEE3"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0" w:type="auto"/>
            <w:tcBorders>
              <w:top w:val="nil"/>
              <w:left w:val="nil"/>
              <w:bottom w:val="nil"/>
              <w:right w:val="nil"/>
            </w:tcBorders>
            <w:shd w:val="clear" w:color="auto" w:fill="auto"/>
            <w:noWrap/>
            <w:hideMark/>
          </w:tcPr>
          <w:p w14:paraId="34106104"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736692EB"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11F489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(2.31)</w:t>
            </w:r>
          </w:p>
        </w:tc>
        <w:tc>
          <w:tcPr>
            <w:tcW w:w="0" w:type="auto"/>
            <w:tcBorders>
              <w:top w:val="nil"/>
              <w:left w:val="nil"/>
              <w:bottom w:val="nil"/>
              <w:right w:val="nil"/>
            </w:tcBorders>
            <w:shd w:val="clear" w:color="auto" w:fill="auto"/>
            <w:noWrap/>
            <w:hideMark/>
          </w:tcPr>
          <w:p w14:paraId="6831A9F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-0.0047</w:t>
            </w:r>
          </w:p>
        </w:tc>
        <w:tc>
          <w:tcPr>
            <w:tcW w:w="0" w:type="auto"/>
            <w:tcBorders>
              <w:top w:val="nil"/>
              <w:left w:val="nil"/>
              <w:bottom w:val="nil"/>
              <w:right w:val="nil"/>
            </w:tcBorders>
            <w:shd w:val="clear" w:color="auto" w:fill="auto"/>
            <w:noWrap/>
            <w:vAlign w:val="center"/>
            <w:hideMark/>
          </w:tcPr>
          <w:p w14:paraId="545351E2"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9386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(-2.44)</w:t>
            </w:r>
          </w:p>
        </w:tc>
      </w:tr>
      <w:tr w:rsidR="00E712B3" w:rsidRPr="00E712B3" w14:paraId="658B21F5" w14:textId="77777777" w:rsidTr="00E712B3">
        <w:trPr>
          <w:trHeight w:val="280"/>
        </w:trPr>
        <w:tc>
          <w:tcPr>
            <w:tcW w:w="0" w:type="auto"/>
            <w:tcBorders>
              <w:top w:val="nil"/>
              <w:left w:val="nil"/>
              <w:bottom w:val="nil"/>
              <w:right w:val="nil"/>
            </w:tcBorders>
            <w:shd w:val="clear" w:color="auto" w:fill="auto"/>
            <w:noWrap/>
            <w:hideMark/>
          </w:tcPr>
          <w:p w14:paraId="1C8B06A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1C8BB1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-0.2071</w:t>
            </w:r>
          </w:p>
        </w:tc>
        <w:tc>
          <w:tcPr>
            <w:tcW w:w="0" w:type="auto"/>
            <w:tcBorders>
              <w:top w:val="nil"/>
              <w:left w:val="nil"/>
              <w:bottom w:val="nil"/>
              <w:right w:val="nil"/>
            </w:tcBorders>
            <w:shd w:val="clear" w:color="auto" w:fill="auto"/>
            <w:noWrap/>
            <w:vAlign w:val="center"/>
            <w:hideMark/>
          </w:tcPr>
          <w:p w14:paraId="36132A6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4E17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(-5.33)</w:t>
            </w:r>
          </w:p>
        </w:tc>
        <w:tc>
          <w:tcPr>
            <w:tcW w:w="0" w:type="auto"/>
            <w:tcBorders>
              <w:top w:val="nil"/>
              <w:left w:val="nil"/>
              <w:bottom w:val="nil"/>
              <w:right w:val="nil"/>
            </w:tcBorders>
            <w:shd w:val="clear" w:color="auto" w:fill="auto"/>
            <w:noWrap/>
            <w:hideMark/>
          </w:tcPr>
          <w:p w14:paraId="06F39B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-0.2140</w:t>
            </w:r>
          </w:p>
        </w:tc>
        <w:tc>
          <w:tcPr>
            <w:tcW w:w="0" w:type="auto"/>
            <w:tcBorders>
              <w:top w:val="nil"/>
              <w:left w:val="nil"/>
              <w:bottom w:val="nil"/>
              <w:right w:val="nil"/>
            </w:tcBorders>
            <w:shd w:val="clear" w:color="auto" w:fill="auto"/>
            <w:noWrap/>
            <w:vAlign w:val="center"/>
            <w:hideMark/>
          </w:tcPr>
          <w:p w14:paraId="4AB2342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188BB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(-7.85)</w:t>
            </w:r>
          </w:p>
        </w:tc>
      </w:tr>
      <w:tr w:rsidR="00E712B3" w:rsidRPr="00E712B3" w14:paraId="50D3F982" w14:textId="77777777" w:rsidTr="00E712B3">
        <w:trPr>
          <w:trHeight w:val="280"/>
        </w:trPr>
        <w:tc>
          <w:tcPr>
            <w:tcW w:w="0" w:type="auto"/>
            <w:tcBorders>
              <w:top w:val="nil"/>
              <w:left w:val="nil"/>
              <w:bottom w:val="nil"/>
              <w:right w:val="nil"/>
            </w:tcBorders>
            <w:shd w:val="clear" w:color="auto" w:fill="auto"/>
            <w:noWrap/>
            <w:hideMark/>
          </w:tcPr>
          <w:p w14:paraId="25A29A4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6A0593A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2FF0D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EC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7467AB7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4829082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92BCF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(-0.54)</w:t>
            </w:r>
          </w:p>
        </w:tc>
      </w:tr>
      <w:tr w:rsidR="00E712B3" w:rsidRPr="00E712B3" w14:paraId="42B31D52" w14:textId="77777777" w:rsidTr="00E712B3">
        <w:trPr>
          <w:trHeight w:val="280"/>
        </w:trPr>
        <w:tc>
          <w:tcPr>
            <w:tcW w:w="0" w:type="auto"/>
            <w:tcBorders>
              <w:top w:val="nil"/>
              <w:left w:val="nil"/>
              <w:bottom w:val="nil"/>
              <w:right w:val="nil"/>
            </w:tcBorders>
            <w:shd w:val="clear" w:color="auto" w:fill="auto"/>
            <w:noWrap/>
            <w:hideMark/>
          </w:tcPr>
          <w:p w14:paraId="6F17BE3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7CE9944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0.1101</w:t>
            </w:r>
          </w:p>
        </w:tc>
        <w:tc>
          <w:tcPr>
            <w:tcW w:w="0" w:type="auto"/>
            <w:tcBorders>
              <w:top w:val="nil"/>
              <w:left w:val="nil"/>
              <w:bottom w:val="nil"/>
              <w:right w:val="nil"/>
            </w:tcBorders>
            <w:shd w:val="clear" w:color="auto" w:fill="auto"/>
            <w:noWrap/>
            <w:vAlign w:val="center"/>
            <w:hideMark/>
          </w:tcPr>
          <w:p w14:paraId="27EA6680"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6AF5F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(0.38)</w:t>
            </w:r>
          </w:p>
        </w:tc>
        <w:tc>
          <w:tcPr>
            <w:tcW w:w="0" w:type="auto"/>
            <w:tcBorders>
              <w:top w:val="nil"/>
              <w:left w:val="nil"/>
              <w:bottom w:val="nil"/>
              <w:right w:val="nil"/>
            </w:tcBorders>
            <w:shd w:val="clear" w:color="auto" w:fill="auto"/>
            <w:noWrap/>
            <w:hideMark/>
          </w:tcPr>
          <w:p w14:paraId="306B112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0.6296</w:t>
            </w:r>
          </w:p>
        </w:tc>
        <w:tc>
          <w:tcPr>
            <w:tcW w:w="0" w:type="auto"/>
            <w:tcBorders>
              <w:top w:val="nil"/>
              <w:left w:val="nil"/>
              <w:bottom w:val="nil"/>
              <w:right w:val="nil"/>
            </w:tcBorders>
            <w:shd w:val="clear" w:color="auto" w:fill="auto"/>
            <w:noWrap/>
            <w:vAlign w:val="center"/>
            <w:hideMark/>
          </w:tcPr>
          <w:p w14:paraId="167DA16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A64BB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(3.12)</w:t>
            </w:r>
          </w:p>
        </w:tc>
      </w:tr>
      <w:tr w:rsidR="00E712B3" w:rsidRPr="00E712B3" w14:paraId="651F1058" w14:textId="77777777" w:rsidTr="00E712B3">
        <w:trPr>
          <w:trHeight w:val="280"/>
        </w:trPr>
        <w:tc>
          <w:tcPr>
            <w:tcW w:w="0" w:type="auto"/>
            <w:tcBorders>
              <w:top w:val="nil"/>
              <w:left w:val="nil"/>
              <w:bottom w:val="nil"/>
              <w:right w:val="nil"/>
            </w:tcBorders>
            <w:shd w:val="clear" w:color="auto" w:fill="auto"/>
            <w:noWrap/>
            <w:hideMark/>
          </w:tcPr>
          <w:p w14:paraId="6C78A00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6AA083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-0.0778</w:t>
            </w:r>
          </w:p>
        </w:tc>
        <w:tc>
          <w:tcPr>
            <w:tcW w:w="0" w:type="auto"/>
            <w:tcBorders>
              <w:top w:val="nil"/>
              <w:left w:val="nil"/>
              <w:bottom w:val="nil"/>
              <w:right w:val="nil"/>
            </w:tcBorders>
            <w:shd w:val="clear" w:color="auto" w:fill="auto"/>
            <w:noWrap/>
            <w:vAlign w:val="center"/>
            <w:hideMark/>
          </w:tcPr>
          <w:p w14:paraId="2AF076CE"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0A80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BED82E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0.1036</w:t>
            </w:r>
          </w:p>
        </w:tc>
        <w:tc>
          <w:tcPr>
            <w:tcW w:w="0" w:type="auto"/>
            <w:tcBorders>
              <w:top w:val="nil"/>
              <w:left w:val="nil"/>
              <w:bottom w:val="nil"/>
              <w:right w:val="nil"/>
            </w:tcBorders>
            <w:shd w:val="clear" w:color="auto" w:fill="auto"/>
            <w:noWrap/>
            <w:vAlign w:val="center"/>
            <w:hideMark/>
          </w:tcPr>
          <w:p w14:paraId="21C4BA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32748C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(2.21)</w:t>
            </w:r>
          </w:p>
        </w:tc>
      </w:tr>
      <w:tr w:rsidR="00E712B3" w:rsidRPr="00E712B3" w14:paraId="1A40F090" w14:textId="77777777" w:rsidTr="00E712B3">
        <w:trPr>
          <w:trHeight w:val="280"/>
        </w:trPr>
        <w:tc>
          <w:tcPr>
            <w:tcW w:w="0" w:type="auto"/>
            <w:tcBorders>
              <w:top w:val="nil"/>
              <w:left w:val="nil"/>
              <w:bottom w:val="nil"/>
              <w:right w:val="nil"/>
            </w:tcBorders>
            <w:shd w:val="clear" w:color="auto" w:fill="auto"/>
            <w:noWrap/>
            <w:hideMark/>
          </w:tcPr>
          <w:p w14:paraId="73C2DFF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61661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1.8034</w:t>
            </w:r>
          </w:p>
        </w:tc>
        <w:tc>
          <w:tcPr>
            <w:tcW w:w="0" w:type="auto"/>
            <w:tcBorders>
              <w:top w:val="nil"/>
              <w:left w:val="nil"/>
              <w:bottom w:val="nil"/>
              <w:right w:val="nil"/>
            </w:tcBorders>
            <w:shd w:val="clear" w:color="auto" w:fill="auto"/>
            <w:noWrap/>
            <w:vAlign w:val="center"/>
            <w:hideMark/>
          </w:tcPr>
          <w:p w14:paraId="739E4E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33E54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0EF66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-2.1775</w:t>
            </w:r>
          </w:p>
        </w:tc>
        <w:tc>
          <w:tcPr>
            <w:tcW w:w="0" w:type="auto"/>
            <w:tcBorders>
              <w:top w:val="nil"/>
              <w:left w:val="nil"/>
              <w:bottom w:val="nil"/>
              <w:right w:val="nil"/>
            </w:tcBorders>
            <w:shd w:val="clear" w:color="auto" w:fill="auto"/>
            <w:noWrap/>
            <w:vAlign w:val="center"/>
            <w:hideMark/>
          </w:tcPr>
          <w:p w14:paraId="6B2CCBB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8FDD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C614151" w14:textId="77777777" w:rsidTr="00E712B3">
        <w:trPr>
          <w:trHeight w:val="280"/>
        </w:trPr>
        <w:tc>
          <w:tcPr>
            <w:tcW w:w="0" w:type="auto"/>
            <w:tcBorders>
              <w:top w:val="nil"/>
              <w:left w:val="nil"/>
              <w:bottom w:val="nil"/>
              <w:right w:val="nil"/>
            </w:tcBorders>
            <w:shd w:val="clear" w:color="auto" w:fill="auto"/>
            <w:noWrap/>
            <w:hideMark/>
          </w:tcPr>
          <w:p w14:paraId="485991A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F350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-0.0072</w:t>
            </w:r>
          </w:p>
        </w:tc>
        <w:tc>
          <w:tcPr>
            <w:tcW w:w="0" w:type="auto"/>
            <w:tcBorders>
              <w:top w:val="nil"/>
              <w:left w:val="nil"/>
              <w:bottom w:val="nil"/>
              <w:right w:val="nil"/>
            </w:tcBorders>
            <w:shd w:val="clear" w:color="auto" w:fill="auto"/>
            <w:noWrap/>
            <w:vAlign w:val="center"/>
            <w:hideMark/>
          </w:tcPr>
          <w:p w14:paraId="201E70C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AD8788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D939EE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0.0050</w:t>
            </w:r>
          </w:p>
        </w:tc>
        <w:tc>
          <w:tcPr>
            <w:tcW w:w="0" w:type="auto"/>
            <w:tcBorders>
              <w:top w:val="nil"/>
              <w:left w:val="nil"/>
              <w:bottom w:val="nil"/>
              <w:right w:val="nil"/>
            </w:tcBorders>
            <w:shd w:val="clear" w:color="auto" w:fill="auto"/>
            <w:noWrap/>
            <w:vAlign w:val="center"/>
            <w:hideMark/>
          </w:tcPr>
          <w:p w14:paraId="53445DB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0CCD05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0600E002" w14:textId="77777777" w:rsidTr="00E712B3">
        <w:trPr>
          <w:trHeight w:val="280"/>
        </w:trPr>
        <w:tc>
          <w:tcPr>
            <w:tcW w:w="0" w:type="auto"/>
            <w:tcBorders>
              <w:top w:val="nil"/>
              <w:left w:val="nil"/>
              <w:bottom w:val="nil"/>
              <w:right w:val="nil"/>
            </w:tcBorders>
            <w:shd w:val="clear" w:color="auto" w:fill="auto"/>
            <w:noWrap/>
            <w:hideMark/>
          </w:tcPr>
          <w:p w14:paraId="4A13A49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E9EADF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0.1261</w:t>
            </w:r>
          </w:p>
        </w:tc>
        <w:tc>
          <w:tcPr>
            <w:tcW w:w="0" w:type="auto"/>
            <w:tcBorders>
              <w:top w:val="nil"/>
              <w:left w:val="nil"/>
              <w:bottom w:val="nil"/>
              <w:right w:val="nil"/>
            </w:tcBorders>
            <w:shd w:val="clear" w:color="auto" w:fill="auto"/>
            <w:noWrap/>
            <w:vAlign w:val="center"/>
            <w:hideMark/>
          </w:tcPr>
          <w:p w14:paraId="5885C163"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58E4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(0.71)</w:t>
            </w:r>
          </w:p>
        </w:tc>
        <w:tc>
          <w:tcPr>
            <w:tcW w:w="0" w:type="auto"/>
            <w:tcBorders>
              <w:top w:val="nil"/>
              <w:left w:val="nil"/>
              <w:bottom w:val="nil"/>
              <w:right w:val="nil"/>
            </w:tcBorders>
            <w:shd w:val="clear" w:color="auto" w:fill="auto"/>
            <w:noWrap/>
            <w:hideMark/>
          </w:tcPr>
          <w:p w14:paraId="5336A42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-0.2719</w:t>
            </w:r>
          </w:p>
        </w:tc>
        <w:tc>
          <w:tcPr>
            <w:tcW w:w="0" w:type="auto"/>
            <w:tcBorders>
              <w:top w:val="nil"/>
              <w:left w:val="nil"/>
              <w:bottom w:val="nil"/>
              <w:right w:val="nil"/>
            </w:tcBorders>
            <w:shd w:val="clear" w:color="auto" w:fill="auto"/>
            <w:noWrap/>
            <w:vAlign w:val="center"/>
            <w:hideMark/>
          </w:tcPr>
          <w:p w14:paraId="72447E8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B5EA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(-2.22)</w:t>
            </w:r>
          </w:p>
        </w:tc>
      </w:tr>
      <w:tr w:rsidR="00E712B3" w:rsidRPr="00E712B3" w14:paraId="7D840E49" w14:textId="77777777" w:rsidTr="00E712B3">
        <w:trPr>
          <w:trHeight w:val="280"/>
        </w:trPr>
        <w:tc>
          <w:tcPr>
            <w:tcW w:w="0" w:type="auto"/>
            <w:tcBorders>
              <w:top w:val="nil"/>
              <w:left w:val="nil"/>
              <w:bottom w:val="nil"/>
              <w:right w:val="nil"/>
            </w:tcBorders>
            <w:shd w:val="clear" w:color="auto" w:fill="auto"/>
            <w:noWrap/>
            <w:hideMark/>
          </w:tcPr>
          <w:p w14:paraId="6A9E6286"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593698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-1.5635</w:t>
            </w:r>
          </w:p>
        </w:tc>
        <w:tc>
          <w:tcPr>
            <w:tcW w:w="0" w:type="auto"/>
            <w:tcBorders>
              <w:top w:val="nil"/>
              <w:left w:val="nil"/>
              <w:bottom w:val="nil"/>
              <w:right w:val="nil"/>
            </w:tcBorders>
            <w:shd w:val="clear" w:color="auto" w:fill="auto"/>
            <w:noWrap/>
            <w:vAlign w:val="center"/>
            <w:hideMark/>
          </w:tcPr>
          <w:p w14:paraId="1E874C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8772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24FD99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-1.0808</w:t>
            </w:r>
          </w:p>
        </w:tc>
        <w:tc>
          <w:tcPr>
            <w:tcW w:w="0" w:type="auto"/>
            <w:tcBorders>
              <w:top w:val="nil"/>
              <w:left w:val="nil"/>
              <w:bottom w:val="nil"/>
              <w:right w:val="nil"/>
            </w:tcBorders>
            <w:shd w:val="clear" w:color="auto" w:fill="auto"/>
            <w:noWrap/>
            <w:vAlign w:val="center"/>
            <w:hideMark/>
          </w:tcPr>
          <w:p w14:paraId="3C5B4F3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FBF2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(-0.94)</w:t>
            </w:r>
          </w:p>
        </w:tc>
      </w:tr>
      <w:tr w:rsidR="00E712B3" w:rsidRPr="00E712B3" w14:paraId="6436C3F2" w14:textId="77777777" w:rsidTr="00E712B3">
        <w:trPr>
          <w:trHeight w:val="280"/>
        </w:trPr>
        <w:tc>
          <w:tcPr>
            <w:tcW w:w="0" w:type="auto"/>
            <w:tcBorders>
              <w:top w:val="nil"/>
              <w:left w:val="nil"/>
              <w:bottom w:val="nil"/>
              <w:right w:val="nil"/>
            </w:tcBorders>
            <w:shd w:val="clear" w:color="auto" w:fill="auto"/>
            <w:noWrap/>
            <w:hideMark/>
          </w:tcPr>
          <w:p w14:paraId="4E24F8D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B6BF0F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3.1510</w:t>
            </w:r>
          </w:p>
        </w:tc>
        <w:tc>
          <w:tcPr>
            <w:tcW w:w="0" w:type="auto"/>
            <w:tcBorders>
              <w:top w:val="nil"/>
              <w:left w:val="nil"/>
              <w:bottom w:val="nil"/>
              <w:right w:val="nil"/>
            </w:tcBorders>
            <w:shd w:val="clear" w:color="auto" w:fill="auto"/>
            <w:noWrap/>
            <w:vAlign w:val="center"/>
            <w:hideMark/>
          </w:tcPr>
          <w:p w14:paraId="7707A318"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08C3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0" w:type="auto"/>
            <w:tcBorders>
              <w:top w:val="nil"/>
              <w:left w:val="nil"/>
              <w:bottom w:val="nil"/>
              <w:right w:val="nil"/>
            </w:tcBorders>
            <w:shd w:val="clear" w:color="auto" w:fill="auto"/>
            <w:noWrap/>
            <w:hideMark/>
          </w:tcPr>
          <w:p w14:paraId="1A45F7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-7.5285</w:t>
            </w:r>
          </w:p>
        </w:tc>
        <w:tc>
          <w:tcPr>
            <w:tcW w:w="0" w:type="auto"/>
            <w:tcBorders>
              <w:top w:val="nil"/>
              <w:left w:val="nil"/>
              <w:bottom w:val="nil"/>
              <w:right w:val="nil"/>
            </w:tcBorders>
            <w:shd w:val="clear" w:color="auto" w:fill="auto"/>
            <w:noWrap/>
            <w:vAlign w:val="center"/>
            <w:hideMark/>
          </w:tcPr>
          <w:p w14:paraId="093C130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0B393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03C40C18" w14:textId="77777777" w:rsidTr="00E712B3">
        <w:trPr>
          <w:trHeight w:val="280"/>
        </w:trPr>
        <w:tc>
          <w:tcPr>
            <w:tcW w:w="0" w:type="auto"/>
            <w:tcBorders>
              <w:top w:val="nil"/>
              <w:left w:val="nil"/>
              <w:bottom w:val="nil"/>
              <w:right w:val="nil"/>
            </w:tcBorders>
            <w:shd w:val="clear" w:color="auto" w:fill="auto"/>
            <w:noWrap/>
            <w:hideMark/>
          </w:tcPr>
          <w:p w14:paraId="24080D6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F717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0.5347</w:t>
            </w:r>
          </w:p>
        </w:tc>
        <w:tc>
          <w:tcPr>
            <w:tcW w:w="0" w:type="auto"/>
            <w:tcBorders>
              <w:top w:val="nil"/>
              <w:left w:val="nil"/>
              <w:bottom w:val="nil"/>
              <w:right w:val="nil"/>
            </w:tcBorders>
            <w:shd w:val="clear" w:color="auto" w:fill="auto"/>
            <w:noWrap/>
            <w:vAlign w:val="center"/>
            <w:hideMark/>
          </w:tcPr>
          <w:p w14:paraId="19434B7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B1DE1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53A18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-2.1507</w:t>
            </w:r>
          </w:p>
        </w:tc>
        <w:tc>
          <w:tcPr>
            <w:tcW w:w="0" w:type="auto"/>
            <w:tcBorders>
              <w:top w:val="nil"/>
              <w:left w:val="nil"/>
              <w:bottom w:val="nil"/>
              <w:right w:val="nil"/>
            </w:tcBorders>
            <w:shd w:val="clear" w:color="auto" w:fill="auto"/>
            <w:noWrap/>
            <w:vAlign w:val="center"/>
            <w:hideMark/>
          </w:tcPr>
          <w:p w14:paraId="781143E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66B1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(-4.20)</w:t>
            </w:r>
          </w:p>
        </w:tc>
      </w:tr>
      <w:tr w:rsidR="00E712B3" w:rsidRPr="00E712B3" w14:paraId="7915C1F6" w14:textId="77777777" w:rsidTr="00E712B3">
        <w:trPr>
          <w:trHeight w:val="280"/>
        </w:trPr>
        <w:tc>
          <w:tcPr>
            <w:tcW w:w="0" w:type="auto"/>
            <w:tcBorders>
              <w:top w:val="nil"/>
              <w:left w:val="nil"/>
              <w:bottom w:val="nil"/>
              <w:right w:val="nil"/>
            </w:tcBorders>
            <w:shd w:val="clear" w:color="auto" w:fill="auto"/>
            <w:noWrap/>
            <w:hideMark/>
          </w:tcPr>
          <w:p w14:paraId="13109D0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650B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-0.1075</w:t>
            </w:r>
          </w:p>
        </w:tc>
        <w:tc>
          <w:tcPr>
            <w:tcW w:w="0" w:type="auto"/>
            <w:tcBorders>
              <w:top w:val="nil"/>
              <w:left w:val="nil"/>
              <w:bottom w:val="nil"/>
              <w:right w:val="nil"/>
            </w:tcBorders>
            <w:shd w:val="clear" w:color="auto" w:fill="auto"/>
            <w:noWrap/>
            <w:vAlign w:val="center"/>
            <w:hideMark/>
          </w:tcPr>
          <w:p w14:paraId="6267E46C"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B2E65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583C638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-0.1237</w:t>
            </w:r>
          </w:p>
        </w:tc>
        <w:tc>
          <w:tcPr>
            <w:tcW w:w="0" w:type="auto"/>
            <w:tcBorders>
              <w:top w:val="nil"/>
              <w:left w:val="nil"/>
              <w:bottom w:val="nil"/>
              <w:right w:val="nil"/>
            </w:tcBorders>
            <w:shd w:val="clear" w:color="auto" w:fill="auto"/>
            <w:noWrap/>
            <w:vAlign w:val="center"/>
            <w:hideMark/>
          </w:tcPr>
          <w:p w14:paraId="1FC3723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023E1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6411F3B" w14:textId="77777777" w:rsidTr="00E712B3">
        <w:trPr>
          <w:trHeight w:val="280"/>
        </w:trPr>
        <w:tc>
          <w:tcPr>
            <w:tcW w:w="0" w:type="auto"/>
            <w:tcBorders>
              <w:top w:val="nil"/>
              <w:left w:val="nil"/>
              <w:bottom w:val="single" w:sz="4" w:space="0" w:color="auto"/>
              <w:right w:val="nil"/>
            </w:tcBorders>
            <w:shd w:val="clear" w:color="auto" w:fill="auto"/>
            <w:noWrap/>
            <w:vAlign w:val="center"/>
            <w:hideMark/>
          </w:tcPr>
          <w:p w14:paraId="52BEFBF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3D6226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0" w:type="auto"/>
            <w:tcBorders>
              <w:top w:val="nil"/>
              <w:left w:val="nil"/>
              <w:bottom w:val="single" w:sz="4" w:space="0" w:color="auto"/>
              <w:right w:val="nil"/>
            </w:tcBorders>
            <w:shd w:val="clear" w:color="auto" w:fill="auto"/>
            <w:noWrap/>
            <w:vAlign w:val="center"/>
            <w:hideMark/>
          </w:tcPr>
          <w:p w14:paraId="48F2AF2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136F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c>
          <w:tcPr>
            <w:tcW w:w="0" w:type="auto"/>
            <w:tcBorders>
              <w:top w:val="nil"/>
              <w:left w:val="nil"/>
              <w:bottom w:val="single" w:sz="4" w:space="0" w:color="auto"/>
              <w:right w:val="nil"/>
            </w:tcBorders>
            <w:shd w:val="clear" w:color="auto" w:fill="auto"/>
            <w:noWrap/>
            <w:hideMark/>
          </w:tcPr>
          <w:p w14:paraId="54D83A4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-0.0114</w:t>
            </w:r>
          </w:p>
        </w:tc>
        <w:tc>
          <w:tcPr>
            <w:tcW w:w="0" w:type="auto"/>
            <w:tcBorders>
              <w:top w:val="nil"/>
              <w:left w:val="nil"/>
              <w:bottom w:val="single" w:sz="4" w:space="0" w:color="auto"/>
              <w:right w:val="nil"/>
            </w:tcBorders>
            <w:shd w:val="clear" w:color="auto" w:fill="auto"/>
            <w:noWrap/>
            <w:vAlign w:val="center"/>
            <w:hideMark/>
          </w:tcPr>
          <w:p w14:paraId="0641CC2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540E9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w:t>
            </w:r>
          </w:p>
        </w:tc>
      </w:tr>
      <w:tr w:rsidR="00E712B3" w:rsidRPr="00E712B3" w14:paraId="1AE1943A" w14:textId="77777777" w:rsidTr="00E712B3">
        <w:trPr>
          <w:trHeight w:val="280"/>
        </w:trPr>
        <w:tc>
          <w:tcPr>
            <w:tcW w:w="0" w:type="auto"/>
            <w:tcBorders>
              <w:top w:val="nil"/>
              <w:left w:val="nil"/>
              <w:bottom w:val="nil"/>
              <w:right w:val="nil"/>
            </w:tcBorders>
            <w:shd w:val="clear" w:color="auto" w:fill="auto"/>
            <w:noWrap/>
            <w:hideMark/>
          </w:tcPr>
          <w:p w14:paraId="4B57F24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07F5569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A07DAC9"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A613B7E"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0F342E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F77355"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3107EEA"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2B042E21" w14:textId="77777777" w:rsidTr="00E712B3">
        <w:trPr>
          <w:trHeight w:val="321"/>
        </w:trPr>
        <w:tc>
          <w:tcPr>
            <w:tcW w:w="0" w:type="auto"/>
            <w:tcBorders>
              <w:top w:val="nil"/>
              <w:left w:val="nil"/>
              <w:bottom w:val="nil"/>
              <w:right w:val="nil"/>
            </w:tcBorders>
            <w:shd w:val="clear" w:color="auto" w:fill="auto"/>
            <w:noWrap/>
            <w:vAlign w:val="center"/>
            <w:hideMark/>
          </w:tcPr>
          <w:p w14:paraId="5B0037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326D9A0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2.913%</w:t>
            </w:r>
          </w:p>
        </w:tc>
        <w:tc>
          <w:tcPr>
            <w:tcW w:w="0" w:type="auto"/>
            <w:tcBorders>
              <w:top w:val="nil"/>
              <w:left w:val="nil"/>
              <w:bottom w:val="nil"/>
              <w:right w:val="nil"/>
            </w:tcBorders>
            <w:shd w:val="clear" w:color="auto" w:fill="auto"/>
            <w:noWrap/>
            <w:vAlign w:val="bottom"/>
            <w:hideMark/>
          </w:tcPr>
          <w:p w14:paraId="31BA8A62"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C5B9FE6"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21233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3.640%</w:t>
            </w:r>
          </w:p>
        </w:tc>
        <w:tc>
          <w:tcPr>
            <w:tcW w:w="0" w:type="auto"/>
            <w:tcBorders>
              <w:top w:val="nil"/>
              <w:left w:val="nil"/>
              <w:bottom w:val="nil"/>
              <w:right w:val="nil"/>
            </w:tcBorders>
            <w:shd w:val="clear" w:color="auto" w:fill="auto"/>
            <w:noWrap/>
            <w:vAlign w:val="bottom"/>
            <w:hideMark/>
          </w:tcPr>
          <w:p w14:paraId="4F53E2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0229D9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378AA3F" w14:textId="77777777" w:rsidTr="00E712B3">
        <w:trPr>
          <w:trHeight w:val="285"/>
        </w:trPr>
        <w:tc>
          <w:tcPr>
            <w:tcW w:w="0" w:type="auto"/>
            <w:tcBorders>
              <w:top w:val="nil"/>
              <w:left w:val="nil"/>
              <w:bottom w:val="single" w:sz="8" w:space="0" w:color="auto"/>
              <w:right w:val="nil"/>
            </w:tcBorders>
            <w:shd w:val="clear" w:color="auto" w:fill="auto"/>
            <w:noWrap/>
            <w:vAlign w:val="center"/>
            <w:hideMark/>
          </w:tcPr>
          <w:p w14:paraId="5A6A690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3F4BFE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616F168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DBFB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E0E21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3F2D543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90582D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6A10C876" w14:textId="7AFD9BFD" w:rsidR="00E712B3" w:rsidRDefault="00E712B3" w:rsidP="00004400">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8</w:t>
      </w:r>
      <w:r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positive-tone FWLs and negative-tone FWLs</w:t>
      </w:r>
      <w:r w:rsidRPr="00004400">
        <w:rPr>
          <w:rFonts w:ascii="Times New Roman" w:eastAsia="Times New Roman" w:hAnsi="Times New Roman" w:cs="Times New Roman"/>
          <w:color w:val="000000"/>
          <w:sz w:val="20"/>
          <w:szCs w:val="20"/>
        </w:rPr>
        <w:t>.</w:t>
      </w:r>
      <w:r w:rsidRPr="005F7C3C">
        <w:rPr>
          <w:rFonts w:ascii="Times New Roman" w:eastAsia="Times New Roman" w:hAnsi="Times New Roman" w:cs="Times New Roman"/>
          <w:color w:val="000000"/>
          <w:sz w:val="20"/>
          <w:szCs w:val="20"/>
        </w:rPr>
        <w:t xml:space="preserve"> </w:t>
      </w:r>
      <w:r w:rsidR="00004400" w:rsidRPr="00004400">
        <w:rPr>
          <w:rFonts w:ascii="Times New Roman" w:eastAsia="Times New Roman" w:hAnsi="Times New Roman" w:cs="Times New Roman"/>
          <w:color w:val="000000"/>
          <w:sz w:val="20"/>
          <w:szCs w:val="20"/>
        </w:rPr>
        <w:t xml:space="preserve">Positive- (negative-) tone FWLs are defined as the </w:t>
      </w:r>
      <w:r w:rsidR="0083594C">
        <w:rPr>
          <w:rFonts w:ascii="Times New Roman" w:eastAsia="Times New Roman" w:hAnsi="Times New Roman" w:cs="Times New Roman"/>
          <w:color w:val="000000"/>
          <w:sz w:val="20"/>
          <w:szCs w:val="20"/>
        </w:rPr>
        <w:t>percentage</w:t>
      </w:r>
      <w:r w:rsidR="00004400" w:rsidRPr="00004400">
        <w:rPr>
          <w:rFonts w:ascii="Times New Roman" w:eastAsia="Times New Roman" w:hAnsi="Times New Roman" w:cs="Times New Roman"/>
          <w:color w:val="000000"/>
          <w:sz w:val="20"/>
          <w:szCs w:val="20"/>
        </w:rPr>
        <w:t xml:space="preserve"> of sentences containing a forward-looking term and a positive (negative) tone word in the presentation and response of the conference call</w:t>
      </w:r>
      <w:r w:rsidR="00D60021">
        <w:rPr>
          <w:rFonts w:ascii="Times New Roman" w:eastAsia="Times New Roman" w:hAnsi="Times New Roman" w:cs="Times New Roman"/>
          <w:color w:val="000000"/>
          <w:sz w:val="20"/>
          <w:szCs w:val="20"/>
        </w:rPr>
        <w:t xml:space="preserve">, following </w:t>
      </w:r>
      <w:r w:rsidR="00D60021" w:rsidRPr="00D60021">
        <w:rPr>
          <w:rFonts w:ascii="Times New Roman" w:eastAsia="Times New Roman" w:hAnsi="Times New Roman" w:cs="Times New Roman"/>
          <w:color w:val="000000"/>
          <w:sz w:val="20"/>
          <w:szCs w:val="20"/>
        </w:rPr>
        <w:t>Loughran and McDonald (2011)</w:t>
      </w:r>
      <w:r w:rsidR="00004400" w:rsidRP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0FB3CBE1" w14:textId="5D4913E5"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78D3266" w14:textId="0786EEEC"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E8883FD" w14:textId="623AE324"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28C428" w14:textId="6A25967A"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3F0AB18B" w14:textId="78F0ADED"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444D574E" w14:textId="55C52DE6"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7EB0D7" w14:textId="2F18C1DB"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63D1C76C"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0CD0CED"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3083F440" w14:textId="607FC59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513E085A"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64DEB6F4" w14:textId="75924B94"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086A6D6C" w14:textId="77777777" w:rsidR="00B14ECE" w:rsidRPr="00E712B3"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D0A6B0D" w14:textId="2E7E9BB2"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B: </w:t>
      </w:r>
      <w:r w:rsidR="00004400" w:rsidRPr="00B14ECE">
        <w:rPr>
          <w:rFonts w:ascii="Times New Roman" w:eastAsia="Times New Roman" w:hAnsi="Times New Roman" w:cs="Times New Roman"/>
          <w:bCs/>
          <w:i/>
          <w:color w:val="000000"/>
          <w:sz w:val="24"/>
        </w:rPr>
        <w:t xml:space="preserve">Qualitative versus </w:t>
      </w:r>
      <w:r w:rsidR="00E712B3" w:rsidRPr="00B14ECE">
        <w:rPr>
          <w:rFonts w:ascii="Times New Roman" w:eastAsia="Times New Roman" w:hAnsi="Times New Roman" w:cs="Times New Roman"/>
          <w:bCs/>
          <w:i/>
          <w:color w:val="000000"/>
          <w:sz w:val="24"/>
        </w:rPr>
        <w:t xml:space="preserve">Quantitative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3414984A" w14:textId="77777777" w:rsidTr="00E712B3">
        <w:trPr>
          <w:trHeight w:val="306"/>
        </w:trPr>
        <w:tc>
          <w:tcPr>
            <w:tcW w:w="783" w:type="pct"/>
            <w:tcBorders>
              <w:top w:val="single" w:sz="4" w:space="0" w:color="auto"/>
              <w:left w:val="nil"/>
              <w:bottom w:val="single" w:sz="4" w:space="0" w:color="auto"/>
              <w:right w:val="nil"/>
            </w:tcBorders>
            <w:shd w:val="clear" w:color="auto" w:fill="auto"/>
            <w:noWrap/>
            <w:vAlign w:val="center"/>
            <w:hideMark/>
          </w:tcPr>
          <w:p w14:paraId="3038C7CF"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109" w:type="pct"/>
            <w:gridSpan w:val="3"/>
            <w:tcBorders>
              <w:top w:val="single" w:sz="4" w:space="0" w:color="auto"/>
              <w:left w:val="nil"/>
              <w:bottom w:val="single" w:sz="4" w:space="0" w:color="auto"/>
              <w:right w:val="nil"/>
            </w:tcBorders>
            <w:shd w:val="clear" w:color="auto" w:fill="auto"/>
            <w:noWrap/>
            <w:vAlign w:val="bottom"/>
            <w:hideMark/>
          </w:tcPr>
          <w:p w14:paraId="0D562A57"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NQT_FWLs</w:t>
            </w:r>
          </w:p>
        </w:tc>
        <w:tc>
          <w:tcPr>
            <w:tcW w:w="2109" w:type="pct"/>
            <w:gridSpan w:val="3"/>
            <w:tcBorders>
              <w:top w:val="single" w:sz="4" w:space="0" w:color="auto"/>
              <w:left w:val="nil"/>
              <w:bottom w:val="single" w:sz="4" w:space="0" w:color="auto"/>
              <w:right w:val="nil"/>
            </w:tcBorders>
            <w:shd w:val="clear" w:color="auto" w:fill="auto"/>
            <w:noWrap/>
            <w:vAlign w:val="center"/>
            <w:hideMark/>
          </w:tcPr>
          <w:p w14:paraId="3DA312C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QNT_FWLs</w:t>
            </w:r>
          </w:p>
        </w:tc>
      </w:tr>
      <w:tr w:rsidR="00E712B3" w:rsidRPr="00E712B3" w14:paraId="36EA43FE" w14:textId="77777777" w:rsidTr="00E712B3">
        <w:trPr>
          <w:trHeight w:val="288"/>
        </w:trPr>
        <w:tc>
          <w:tcPr>
            <w:tcW w:w="783" w:type="pct"/>
            <w:tcBorders>
              <w:top w:val="nil"/>
              <w:left w:val="nil"/>
              <w:bottom w:val="nil"/>
              <w:right w:val="nil"/>
            </w:tcBorders>
            <w:shd w:val="clear" w:color="auto" w:fill="auto"/>
            <w:noWrap/>
            <w:vAlign w:val="bottom"/>
            <w:hideMark/>
          </w:tcPr>
          <w:p w14:paraId="15231E9C" w14:textId="77777777" w:rsidR="00E712B3" w:rsidRPr="00E712B3" w:rsidRDefault="00E712B3" w:rsidP="00E712B3">
            <w:pPr>
              <w:jc w:val="center"/>
              <w:rPr>
                <w:rFonts w:ascii="Times New Roman" w:eastAsia="Times New Roman" w:hAnsi="Times New Roman" w:cs="Times New Roman"/>
                <w:b/>
                <w:bCs/>
                <w:color w:val="000000"/>
              </w:rPr>
            </w:pPr>
          </w:p>
        </w:tc>
        <w:tc>
          <w:tcPr>
            <w:tcW w:w="2109" w:type="pct"/>
            <w:gridSpan w:val="3"/>
            <w:tcBorders>
              <w:top w:val="nil"/>
              <w:left w:val="nil"/>
              <w:bottom w:val="single" w:sz="4" w:space="0" w:color="auto"/>
              <w:right w:val="nil"/>
            </w:tcBorders>
            <w:shd w:val="clear" w:color="auto" w:fill="auto"/>
            <w:noWrap/>
            <w:vAlign w:val="bottom"/>
            <w:hideMark/>
          </w:tcPr>
          <w:p w14:paraId="7F5A045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109" w:type="pct"/>
            <w:gridSpan w:val="3"/>
            <w:tcBorders>
              <w:top w:val="nil"/>
              <w:left w:val="nil"/>
              <w:bottom w:val="single" w:sz="4" w:space="0" w:color="auto"/>
              <w:right w:val="nil"/>
            </w:tcBorders>
            <w:shd w:val="clear" w:color="auto" w:fill="auto"/>
            <w:noWrap/>
            <w:vAlign w:val="bottom"/>
            <w:hideMark/>
          </w:tcPr>
          <w:p w14:paraId="3B6543E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5D75DC" w14:textId="77777777" w:rsidTr="00E712B3">
        <w:trPr>
          <w:trHeight w:val="288"/>
        </w:trPr>
        <w:tc>
          <w:tcPr>
            <w:tcW w:w="783" w:type="pct"/>
            <w:tcBorders>
              <w:top w:val="nil"/>
              <w:left w:val="nil"/>
              <w:bottom w:val="single" w:sz="4" w:space="0" w:color="auto"/>
              <w:right w:val="nil"/>
            </w:tcBorders>
            <w:shd w:val="clear" w:color="auto" w:fill="auto"/>
            <w:noWrap/>
            <w:vAlign w:val="bottom"/>
            <w:hideMark/>
          </w:tcPr>
          <w:p w14:paraId="543F29A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36" w:type="pct"/>
            <w:tcBorders>
              <w:top w:val="nil"/>
              <w:left w:val="nil"/>
              <w:bottom w:val="single" w:sz="4" w:space="0" w:color="auto"/>
              <w:right w:val="nil"/>
            </w:tcBorders>
            <w:shd w:val="clear" w:color="auto" w:fill="auto"/>
            <w:noWrap/>
            <w:vAlign w:val="bottom"/>
            <w:hideMark/>
          </w:tcPr>
          <w:p w14:paraId="162E0FB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001C9DD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64E119B3"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36" w:type="pct"/>
            <w:tcBorders>
              <w:top w:val="nil"/>
              <w:left w:val="nil"/>
              <w:bottom w:val="single" w:sz="4" w:space="0" w:color="auto"/>
              <w:right w:val="nil"/>
            </w:tcBorders>
            <w:shd w:val="clear" w:color="auto" w:fill="auto"/>
            <w:noWrap/>
            <w:vAlign w:val="bottom"/>
            <w:hideMark/>
          </w:tcPr>
          <w:p w14:paraId="2AA3CFE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696AC98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40C1EAE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495D23F" w14:textId="77777777" w:rsidTr="00E712B3">
        <w:trPr>
          <w:trHeight w:val="288"/>
        </w:trPr>
        <w:tc>
          <w:tcPr>
            <w:tcW w:w="783" w:type="pct"/>
            <w:tcBorders>
              <w:top w:val="nil"/>
              <w:left w:val="nil"/>
              <w:bottom w:val="nil"/>
              <w:right w:val="nil"/>
            </w:tcBorders>
            <w:shd w:val="clear" w:color="auto" w:fill="auto"/>
            <w:noWrap/>
            <w:vAlign w:val="bottom"/>
            <w:hideMark/>
          </w:tcPr>
          <w:p w14:paraId="1E7F5FE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36" w:type="pct"/>
            <w:tcBorders>
              <w:top w:val="nil"/>
              <w:left w:val="nil"/>
              <w:bottom w:val="nil"/>
              <w:right w:val="nil"/>
            </w:tcBorders>
            <w:shd w:val="clear" w:color="auto" w:fill="auto"/>
            <w:noWrap/>
            <w:hideMark/>
          </w:tcPr>
          <w:p w14:paraId="178DDD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14.0402</w:t>
            </w:r>
          </w:p>
        </w:tc>
        <w:tc>
          <w:tcPr>
            <w:tcW w:w="261" w:type="pct"/>
            <w:tcBorders>
              <w:top w:val="nil"/>
              <w:left w:val="nil"/>
              <w:bottom w:val="nil"/>
              <w:right w:val="nil"/>
            </w:tcBorders>
            <w:shd w:val="clear" w:color="auto" w:fill="auto"/>
            <w:noWrap/>
            <w:vAlign w:val="center"/>
            <w:hideMark/>
          </w:tcPr>
          <w:p w14:paraId="3885E1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3604E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(19.48)</w:t>
            </w:r>
          </w:p>
        </w:tc>
        <w:tc>
          <w:tcPr>
            <w:tcW w:w="1436" w:type="pct"/>
            <w:tcBorders>
              <w:top w:val="nil"/>
              <w:left w:val="nil"/>
              <w:bottom w:val="nil"/>
              <w:right w:val="nil"/>
            </w:tcBorders>
            <w:shd w:val="clear" w:color="auto" w:fill="auto"/>
            <w:noWrap/>
            <w:hideMark/>
          </w:tcPr>
          <w:p w14:paraId="4A668E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7.0641</w:t>
            </w:r>
          </w:p>
        </w:tc>
        <w:tc>
          <w:tcPr>
            <w:tcW w:w="261" w:type="pct"/>
            <w:tcBorders>
              <w:top w:val="nil"/>
              <w:left w:val="nil"/>
              <w:bottom w:val="nil"/>
              <w:right w:val="nil"/>
            </w:tcBorders>
            <w:shd w:val="clear" w:color="auto" w:fill="auto"/>
            <w:noWrap/>
            <w:vAlign w:val="center"/>
            <w:hideMark/>
          </w:tcPr>
          <w:p w14:paraId="5B74842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FFEFF5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(15.29)</w:t>
            </w:r>
          </w:p>
        </w:tc>
      </w:tr>
      <w:tr w:rsidR="00E712B3" w:rsidRPr="00E712B3" w14:paraId="4B7DA6C6" w14:textId="77777777" w:rsidTr="00E712B3">
        <w:trPr>
          <w:trHeight w:val="288"/>
        </w:trPr>
        <w:tc>
          <w:tcPr>
            <w:tcW w:w="783" w:type="pct"/>
            <w:tcBorders>
              <w:top w:val="nil"/>
              <w:left w:val="nil"/>
              <w:bottom w:val="nil"/>
              <w:right w:val="nil"/>
            </w:tcBorders>
            <w:shd w:val="clear" w:color="auto" w:fill="auto"/>
            <w:noWrap/>
            <w:hideMark/>
          </w:tcPr>
          <w:p w14:paraId="52AF6C1D"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36" w:type="pct"/>
            <w:tcBorders>
              <w:top w:val="nil"/>
              <w:left w:val="nil"/>
              <w:bottom w:val="nil"/>
              <w:right w:val="nil"/>
            </w:tcBorders>
            <w:shd w:val="clear" w:color="auto" w:fill="auto"/>
            <w:noWrap/>
            <w:hideMark/>
          </w:tcPr>
          <w:p w14:paraId="2ED37B5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0.0087</w:t>
            </w:r>
          </w:p>
        </w:tc>
        <w:tc>
          <w:tcPr>
            <w:tcW w:w="261" w:type="pct"/>
            <w:tcBorders>
              <w:top w:val="nil"/>
              <w:left w:val="nil"/>
              <w:bottom w:val="nil"/>
              <w:right w:val="nil"/>
            </w:tcBorders>
            <w:shd w:val="clear" w:color="auto" w:fill="auto"/>
            <w:noWrap/>
            <w:vAlign w:val="center"/>
            <w:hideMark/>
          </w:tcPr>
          <w:p w14:paraId="022F742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11" w:type="pct"/>
            <w:tcBorders>
              <w:top w:val="nil"/>
              <w:left w:val="nil"/>
              <w:bottom w:val="nil"/>
              <w:right w:val="nil"/>
            </w:tcBorders>
            <w:shd w:val="clear" w:color="auto" w:fill="auto"/>
            <w:noWrap/>
            <w:hideMark/>
          </w:tcPr>
          <w:p w14:paraId="7188A555"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(2.87)</w:t>
            </w:r>
          </w:p>
        </w:tc>
        <w:tc>
          <w:tcPr>
            <w:tcW w:w="1436" w:type="pct"/>
            <w:tcBorders>
              <w:top w:val="nil"/>
              <w:left w:val="nil"/>
              <w:bottom w:val="nil"/>
              <w:right w:val="nil"/>
            </w:tcBorders>
            <w:shd w:val="clear" w:color="auto" w:fill="auto"/>
            <w:noWrap/>
            <w:hideMark/>
          </w:tcPr>
          <w:p w14:paraId="223B968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-0.0005</w:t>
            </w:r>
          </w:p>
        </w:tc>
        <w:tc>
          <w:tcPr>
            <w:tcW w:w="261" w:type="pct"/>
            <w:tcBorders>
              <w:top w:val="nil"/>
              <w:left w:val="nil"/>
              <w:bottom w:val="nil"/>
              <w:right w:val="nil"/>
            </w:tcBorders>
            <w:shd w:val="clear" w:color="auto" w:fill="auto"/>
            <w:noWrap/>
            <w:vAlign w:val="center"/>
            <w:hideMark/>
          </w:tcPr>
          <w:p w14:paraId="630BACE9" w14:textId="77777777" w:rsidR="00E712B3" w:rsidRPr="00E712B3" w:rsidRDefault="00E712B3" w:rsidP="00E712B3">
            <w:pPr>
              <w:jc w:val="right"/>
              <w:rPr>
                <w:rFonts w:ascii="Times New Roman" w:eastAsia="Times New Roman" w:hAnsi="Times New Roman" w:cs="Times New Roman"/>
                <w:b/>
                <w:bCs/>
                <w:color w:val="000000"/>
              </w:rPr>
            </w:pPr>
          </w:p>
        </w:tc>
        <w:tc>
          <w:tcPr>
            <w:tcW w:w="411" w:type="pct"/>
            <w:tcBorders>
              <w:top w:val="nil"/>
              <w:left w:val="nil"/>
              <w:bottom w:val="nil"/>
              <w:right w:val="nil"/>
            </w:tcBorders>
            <w:shd w:val="clear" w:color="auto" w:fill="auto"/>
            <w:noWrap/>
            <w:hideMark/>
          </w:tcPr>
          <w:p w14:paraId="51F552F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(-0.17)</w:t>
            </w:r>
          </w:p>
        </w:tc>
      </w:tr>
      <w:tr w:rsidR="00E712B3" w:rsidRPr="00E712B3" w14:paraId="288ED1A7" w14:textId="77777777" w:rsidTr="00E712B3">
        <w:trPr>
          <w:trHeight w:val="288"/>
        </w:trPr>
        <w:tc>
          <w:tcPr>
            <w:tcW w:w="783" w:type="pct"/>
            <w:tcBorders>
              <w:top w:val="nil"/>
              <w:left w:val="nil"/>
              <w:bottom w:val="nil"/>
              <w:right w:val="nil"/>
            </w:tcBorders>
            <w:shd w:val="clear" w:color="auto" w:fill="auto"/>
            <w:noWrap/>
            <w:hideMark/>
          </w:tcPr>
          <w:p w14:paraId="2E73E5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36" w:type="pct"/>
            <w:tcBorders>
              <w:top w:val="nil"/>
              <w:left w:val="nil"/>
              <w:bottom w:val="nil"/>
              <w:right w:val="nil"/>
            </w:tcBorders>
            <w:shd w:val="clear" w:color="auto" w:fill="auto"/>
            <w:noWrap/>
            <w:hideMark/>
          </w:tcPr>
          <w:p w14:paraId="2F2DC01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-0.2923</w:t>
            </w:r>
          </w:p>
        </w:tc>
        <w:tc>
          <w:tcPr>
            <w:tcW w:w="261" w:type="pct"/>
            <w:tcBorders>
              <w:top w:val="nil"/>
              <w:left w:val="nil"/>
              <w:bottom w:val="nil"/>
              <w:right w:val="nil"/>
            </w:tcBorders>
            <w:shd w:val="clear" w:color="auto" w:fill="auto"/>
            <w:noWrap/>
            <w:vAlign w:val="center"/>
            <w:hideMark/>
          </w:tcPr>
          <w:p w14:paraId="092FA41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B645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(-5.51)</w:t>
            </w:r>
          </w:p>
        </w:tc>
        <w:tc>
          <w:tcPr>
            <w:tcW w:w="1436" w:type="pct"/>
            <w:tcBorders>
              <w:top w:val="nil"/>
              <w:left w:val="nil"/>
              <w:bottom w:val="nil"/>
              <w:right w:val="nil"/>
            </w:tcBorders>
            <w:shd w:val="clear" w:color="auto" w:fill="auto"/>
            <w:noWrap/>
            <w:hideMark/>
          </w:tcPr>
          <w:p w14:paraId="029C7A8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-0.1481</w:t>
            </w:r>
          </w:p>
        </w:tc>
        <w:tc>
          <w:tcPr>
            <w:tcW w:w="261" w:type="pct"/>
            <w:tcBorders>
              <w:top w:val="nil"/>
              <w:left w:val="nil"/>
              <w:bottom w:val="nil"/>
              <w:right w:val="nil"/>
            </w:tcBorders>
            <w:shd w:val="clear" w:color="auto" w:fill="auto"/>
            <w:noWrap/>
            <w:vAlign w:val="center"/>
            <w:hideMark/>
          </w:tcPr>
          <w:p w14:paraId="4814939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86EAA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480FE1E3" w14:textId="77777777" w:rsidTr="00E712B3">
        <w:trPr>
          <w:trHeight w:val="288"/>
        </w:trPr>
        <w:tc>
          <w:tcPr>
            <w:tcW w:w="783" w:type="pct"/>
            <w:tcBorders>
              <w:top w:val="nil"/>
              <w:left w:val="nil"/>
              <w:bottom w:val="nil"/>
              <w:right w:val="nil"/>
            </w:tcBorders>
            <w:shd w:val="clear" w:color="auto" w:fill="auto"/>
            <w:noWrap/>
            <w:hideMark/>
          </w:tcPr>
          <w:p w14:paraId="0A0DCA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36" w:type="pct"/>
            <w:tcBorders>
              <w:top w:val="nil"/>
              <w:left w:val="nil"/>
              <w:bottom w:val="nil"/>
              <w:right w:val="nil"/>
            </w:tcBorders>
            <w:shd w:val="clear" w:color="auto" w:fill="auto"/>
            <w:noWrap/>
            <w:hideMark/>
          </w:tcPr>
          <w:p w14:paraId="4E1ECB1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0.0001</w:t>
            </w:r>
          </w:p>
        </w:tc>
        <w:tc>
          <w:tcPr>
            <w:tcW w:w="261" w:type="pct"/>
            <w:tcBorders>
              <w:top w:val="nil"/>
              <w:left w:val="nil"/>
              <w:bottom w:val="nil"/>
              <w:right w:val="nil"/>
            </w:tcBorders>
            <w:shd w:val="clear" w:color="auto" w:fill="auto"/>
            <w:noWrap/>
            <w:vAlign w:val="center"/>
            <w:hideMark/>
          </w:tcPr>
          <w:p w14:paraId="0E6156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73947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w:t>
            </w:r>
          </w:p>
        </w:tc>
        <w:tc>
          <w:tcPr>
            <w:tcW w:w="1436" w:type="pct"/>
            <w:tcBorders>
              <w:top w:val="nil"/>
              <w:left w:val="nil"/>
              <w:bottom w:val="nil"/>
              <w:right w:val="nil"/>
            </w:tcBorders>
            <w:shd w:val="clear" w:color="auto" w:fill="auto"/>
            <w:noWrap/>
            <w:hideMark/>
          </w:tcPr>
          <w:p w14:paraId="7B66BD1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0.0026</w:t>
            </w:r>
          </w:p>
        </w:tc>
        <w:tc>
          <w:tcPr>
            <w:tcW w:w="261" w:type="pct"/>
            <w:tcBorders>
              <w:top w:val="nil"/>
              <w:left w:val="nil"/>
              <w:bottom w:val="nil"/>
              <w:right w:val="nil"/>
            </w:tcBorders>
            <w:shd w:val="clear" w:color="auto" w:fill="auto"/>
            <w:noWrap/>
            <w:vAlign w:val="center"/>
            <w:hideMark/>
          </w:tcPr>
          <w:p w14:paraId="2F703A1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F71B3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(1.63)</w:t>
            </w:r>
          </w:p>
        </w:tc>
      </w:tr>
      <w:tr w:rsidR="00E712B3" w:rsidRPr="00E712B3" w14:paraId="60661CCE" w14:textId="77777777" w:rsidTr="00E712B3">
        <w:trPr>
          <w:trHeight w:val="288"/>
        </w:trPr>
        <w:tc>
          <w:tcPr>
            <w:tcW w:w="783" w:type="pct"/>
            <w:tcBorders>
              <w:top w:val="nil"/>
              <w:left w:val="nil"/>
              <w:bottom w:val="nil"/>
              <w:right w:val="nil"/>
            </w:tcBorders>
            <w:shd w:val="clear" w:color="auto" w:fill="auto"/>
            <w:noWrap/>
            <w:hideMark/>
          </w:tcPr>
          <w:p w14:paraId="24599F3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36" w:type="pct"/>
            <w:tcBorders>
              <w:top w:val="nil"/>
              <w:left w:val="nil"/>
              <w:bottom w:val="nil"/>
              <w:right w:val="nil"/>
            </w:tcBorders>
            <w:shd w:val="clear" w:color="auto" w:fill="auto"/>
            <w:noWrap/>
            <w:hideMark/>
          </w:tcPr>
          <w:p w14:paraId="1D3D4A4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-1.3419</w:t>
            </w:r>
          </w:p>
        </w:tc>
        <w:tc>
          <w:tcPr>
            <w:tcW w:w="261" w:type="pct"/>
            <w:tcBorders>
              <w:top w:val="nil"/>
              <w:left w:val="nil"/>
              <w:bottom w:val="nil"/>
              <w:right w:val="nil"/>
            </w:tcBorders>
            <w:shd w:val="clear" w:color="auto" w:fill="auto"/>
            <w:noWrap/>
            <w:vAlign w:val="center"/>
            <w:hideMark/>
          </w:tcPr>
          <w:p w14:paraId="535795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620C7E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36" w:type="pct"/>
            <w:tcBorders>
              <w:top w:val="nil"/>
              <w:left w:val="nil"/>
              <w:bottom w:val="nil"/>
              <w:right w:val="nil"/>
            </w:tcBorders>
            <w:shd w:val="clear" w:color="auto" w:fill="auto"/>
            <w:noWrap/>
            <w:hideMark/>
          </w:tcPr>
          <w:p w14:paraId="14643A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1.2635</w:t>
            </w:r>
          </w:p>
        </w:tc>
        <w:tc>
          <w:tcPr>
            <w:tcW w:w="261" w:type="pct"/>
            <w:tcBorders>
              <w:top w:val="nil"/>
              <w:left w:val="nil"/>
              <w:bottom w:val="nil"/>
              <w:right w:val="nil"/>
            </w:tcBorders>
            <w:shd w:val="clear" w:color="auto" w:fill="auto"/>
            <w:noWrap/>
            <w:vAlign w:val="center"/>
            <w:hideMark/>
          </w:tcPr>
          <w:p w14:paraId="64279B5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E7F9A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(4.09)</w:t>
            </w:r>
          </w:p>
        </w:tc>
      </w:tr>
      <w:tr w:rsidR="00E712B3" w:rsidRPr="00E712B3" w14:paraId="0413EC96" w14:textId="77777777" w:rsidTr="00E712B3">
        <w:trPr>
          <w:trHeight w:val="288"/>
        </w:trPr>
        <w:tc>
          <w:tcPr>
            <w:tcW w:w="783" w:type="pct"/>
            <w:tcBorders>
              <w:top w:val="nil"/>
              <w:left w:val="nil"/>
              <w:bottom w:val="nil"/>
              <w:right w:val="nil"/>
            </w:tcBorders>
            <w:shd w:val="clear" w:color="auto" w:fill="auto"/>
            <w:noWrap/>
            <w:hideMark/>
          </w:tcPr>
          <w:p w14:paraId="486BEDF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36" w:type="pct"/>
            <w:tcBorders>
              <w:top w:val="nil"/>
              <w:left w:val="nil"/>
              <w:bottom w:val="nil"/>
              <w:right w:val="nil"/>
            </w:tcBorders>
            <w:shd w:val="clear" w:color="auto" w:fill="auto"/>
            <w:noWrap/>
            <w:hideMark/>
          </w:tcPr>
          <w:p w14:paraId="6F950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-0.1087</w:t>
            </w:r>
          </w:p>
        </w:tc>
        <w:tc>
          <w:tcPr>
            <w:tcW w:w="261" w:type="pct"/>
            <w:tcBorders>
              <w:top w:val="nil"/>
              <w:left w:val="nil"/>
              <w:bottom w:val="nil"/>
              <w:right w:val="nil"/>
            </w:tcBorders>
            <w:shd w:val="clear" w:color="auto" w:fill="auto"/>
            <w:noWrap/>
            <w:vAlign w:val="center"/>
            <w:hideMark/>
          </w:tcPr>
          <w:p w14:paraId="428D1C26"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A7DB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1436" w:type="pct"/>
            <w:tcBorders>
              <w:top w:val="nil"/>
              <w:left w:val="nil"/>
              <w:bottom w:val="nil"/>
              <w:right w:val="nil"/>
            </w:tcBorders>
            <w:shd w:val="clear" w:color="auto" w:fill="auto"/>
            <w:noWrap/>
            <w:hideMark/>
          </w:tcPr>
          <w:p w14:paraId="0376CC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-0.0244</w:t>
            </w:r>
          </w:p>
        </w:tc>
        <w:tc>
          <w:tcPr>
            <w:tcW w:w="261" w:type="pct"/>
            <w:tcBorders>
              <w:top w:val="nil"/>
              <w:left w:val="nil"/>
              <w:bottom w:val="nil"/>
              <w:right w:val="nil"/>
            </w:tcBorders>
            <w:shd w:val="clear" w:color="auto" w:fill="auto"/>
            <w:noWrap/>
            <w:vAlign w:val="center"/>
            <w:hideMark/>
          </w:tcPr>
          <w:p w14:paraId="7F9287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36350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(-0.32)</w:t>
            </w:r>
          </w:p>
        </w:tc>
      </w:tr>
      <w:tr w:rsidR="00E712B3" w:rsidRPr="00E712B3" w14:paraId="5E8A4135" w14:textId="77777777" w:rsidTr="00E712B3">
        <w:trPr>
          <w:trHeight w:val="288"/>
        </w:trPr>
        <w:tc>
          <w:tcPr>
            <w:tcW w:w="783" w:type="pct"/>
            <w:tcBorders>
              <w:top w:val="nil"/>
              <w:left w:val="nil"/>
              <w:bottom w:val="nil"/>
              <w:right w:val="nil"/>
            </w:tcBorders>
            <w:shd w:val="clear" w:color="auto" w:fill="auto"/>
            <w:noWrap/>
            <w:hideMark/>
          </w:tcPr>
          <w:p w14:paraId="0B67DE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36" w:type="pct"/>
            <w:tcBorders>
              <w:top w:val="nil"/>
              <w:left w:val="nil"/>
              <w:bottom w:val="nil"/>
              <w:right w:val="nil"/>
            </w:tcBorders>
            <w:shd w:val="clear" w:color="auto" w:fill="auto"/>
            <w:noWrap/>
            <w:hideMark/>
          </w:tcPr>
          <w:p w14:paraId="2ADB540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-0.5359</w:t>
            </w:r>
          </w:p>
        </w:tc>
        <w:tc>
          <w:tcPr>
            <w:tcW w:w="261" w:type="pct"/>
            <w:tcBorders>
              <w:top w:val="nil"/>
              <w:left w:val="nil"/>
              <w:bottom w:val="nil"/>
              <w:right w:val="nil"/>
            </w:tcBorders>
            <w:shd w:val="clear" w:color="auto" w:fill="auto"/>
            <w:noWrap/>
            <w:vAlign w:val="center"/>
            <w:hideMark/>
          </w:tcPr>
          <w:p w14:paraId="3B33B6E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9FBDF3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c>
          <w:tcPr>
            <w:tcW w:w="1436" w:type="pct"/>
            <w:tcBorders>
              <w:top w:val="nil"/>
              <w:left w:val="nil"/>
              <w:bottom w:val="nil"/>
              <w:right w:val="nil"/>
            </w:tcBorders>
            <w:shd w:val="clear" w:color="auto" w:fill="auto"/>
            <w:noWrap/>
            <w:hideMark/>
          </w:tcPr>
          <w:p w14:paraId="5EAFC0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2.4672</w:t>
            </w:r>
          </w:p>
        </w:tc>
        <w:tc>
          <w:tcPr>
            <w:tcW w:w="261" w:type="pct"/>
            <w:tcBorders>
              <w:top w:val="nil"/>
              <w:left w:val="nil"/>
              <w:bottom w:val="nil"/>
              <w:right w:val="nil"/>
            </w:tcBorders>
            <w:shd w:val="clear" w:color="auto" w:fill="auto"/>
            <w:noWrap/>
            <w:vAlign w:val="center"/>
            <w:hideMark/>
          </w:tcPr>
          <w:p w14:paraId="176CBE8B"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1D68A7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w:t>
            </w:r>
          </w:p>
        </w:tc>
      </w:tr>
      <w:tr w:rsidR="00E712B3" w:rsidRPr="00E712B3" w14:paraId="70B1F78F" w14:textId="77777777" w:rsidTr="00E712B3">
        <w:trPr>
          <w:trHeight w:val="288"/>
        </w:trPr>
        <w:tc>
          <w:tcPr>
            <w:tcW w:w="783" w:type="pct"/>
            <w:tcBorders>
              <w:top w:val="nil"/>
              <w:left w:val="nil"/>
              <w:bottom w:val="nil"/>
              <w:right w:val="nil"/>
            </w:tcBorders>
            <w:shd w:val="clear" w:color="auto" w:fill="auto"/>
            <w:noWrap/>
            <w:hideMark/>
          </w:tcPr>
          <w:p w14:paraId="78F469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36" w:type="pct"/>
            <w:tcBorders>
              <w:top w:val="nil"/>
              <w:left w:val="nil"/>
              <w:bottom w:val="nil"/>
              <w:right w:val="nil"/>
            </w:tcBorders>
            <w:shd w:val="clear" w:color="auto" w:fill="auto"/>
            <w:noWrap/>
            <w:hideMark/>
          </w:tcPr>
          <w:p w14:paraId="5380CFE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0.0039</w:t>
            </w:r>
          </w:p>
        </w:tc>
        <w:tc>
          <w:tcPr>
            <w:tcW w:w="261" w:type="pct"/>
            <w:tcBorders>
              <w:top w:val="nil"/>
              <w:left w:val="nil"/>
              <w:bottom w:val="nil"/>
              <w:right w:val="nil"/>
            </w:tcBorders>
            <w:shd w:val="clear" w:color="auto" w:fill="auto"/>
            <w:noWrap/>
            <w:vAlign w:val="center"/>
            <w:hideMark/>
          </w:tcPr>
          <w:p w14:paraId="0FB5DBB8"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EBAD7C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(0.72)</w:t>
            </w:r>
          </w:p>
        </w:tc>
        <w:tc>
          <w:tcPr>
            <w:tcW w:w="1436" w:type="pct"/>
            <w:tcBorders>
              <w:top w:val="nil"/>
              <w:left w:val="nil"/>
              <w:bottom w:val="nil"/>
              <w:right w:val="nil"/>
            </w:tcBorders>
            <w:shd w:val="clear" w:color="auto" w:fill="auto"/>
            <w:noWrap/>
            <w:hideMark/>
          </w:tcPr>
          <w:p w14:paraId="70F558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261" w:type="pct"/>
            <w:tcBorders>
              <w:top w:val="nil"/>
              <w:left w:val="nil"/>
              <w:bottom w:val="nil"/>
              <w:right w:val="nil"/>
            </w:tcBorders>
            <w:shd w:val="clear" w:color="auto" w:fill="auto"/>
            <w:noWrap/>
            <w:vAlign w:val="center"/>
            <w:hideMark/>
          </w:tcPr>
          <w:p w14:paraId="0F453AA7"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6DE7CD0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w:t>
            </w:r>
          </w:p>
        </w:tc>
      </w:tr>
      <w:tr w:rsidR="00E712B3" w:rsidRPr="00E712B3" w14:paraId="1FC1ED5B" w14:textId="77777777" w:rsidTr="00E712B3">
        <w:trPr>
          <w:trHeight w:val="288"/>
        </w:trPr>
        <w:tc>
          <w:tcPr>
            <w:tcW w:w="783" w:type="pct"/>
            <w:tcBorders>
              <w:top w:val="nil"/>
              <w:left w:val="nil"/>
              <w:bottom w:val="nil"/>
              <w:right w:val="nil"/>
            </w:tcBorders>
            <w:shd w:val="clear" w:color="auto" w:fill="auto"/>
            <w:noWrap/>
            <w:hideMark/>
          </w:tcPr>
          <w:p w14:paraId="76731DC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36" w:type="pct"/>
            <w:tcBorders>
              <w:top w:val="nil"/>
              <w:left w:val="nil"/>
              <w:bottom w:val="nil"/>
              <w:right w:val="nil"/>
            </w:tcBorders>
            <w:shd w:val="clear" w:color="auto" w:fill="auto"/>
            <w:noWrap/>
            <w:hideMark/>
          </w:tcPr>
          <w:p w14:paraId="3949A29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0.5300</w:t>
            </w:r>
          </w:p>
        </w:tc>
        <w:tc>
          <w:tcPr>
            <w:tcW w:w="261" w:type="pct"/>
            <w:tcBorders>
              <w:top w:val="nil"/>
              <w:left w:val="nil"/>
              <w:bottom w:val="nil"/>
              <w:right w:val="nil"/>
            </w:tcBorders>
            <w:shd w:val="clear" w:color="auto" w:fill="auto"/>
            <w:noWrap/>
            <w:vAlign w:val="center"/>
            <w:hideMark/>
          </w:tcPr>
          <w:p w14:paraId="58EEA80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6B22C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(2.45)</w:t>
            </w:r>
          </w:p>
        </w:tc>
        <w:tc>
          <w:tcPr>
            <w:tcW w:w="1436" w:type="pct"/>
            <w:tcBorders>
              <w:top w:val="nil"/>
              <w:left w:val="nil"/>
              <w:bottom w:val="nil"/>
              <w:right w:val="nil"/>
            </w:tcBorders>
            <w:shd w:val="clear" w:color="auto" w:fill="auto"/>
            <w:noWrap/>
            <w:hideMark/>
          </w:tcPr>
          <w:p w14:paraId="0C5A72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-0.4827</w:t>
            </w:r>
          </w:p>
        </w:tc>
        <w:tc>
          <w:tcPr>
            <w:tcW w:w="261" w:type="pct"/>
            <w:tcBorders>
              <w:top w:val="nil"/>
              <w:left w:val="nil"/>
              <w:bottom w:val="nil"/>
              <w:right w:val="nil"/>
            </w:tcBorders>
            <w:shd w:val="clear" w:color="auto" w:fill="auto"/>
            <w:noWrap/>
            <w:vAlign w:val="center"/>
            <w:hideMark/>
          </w:tcPr>
          <w:p w14:paraId="04E91F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7E79BF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(-2.68)</w:t>
            </w:r>
          </w:p>
        </w:tc>
      </w:tr>
      <w:tr w:rsidR="00E712B3" w:rsidRPr="00E712B3" w14:paraId="2D95E564" w14:textId="77777777" w:rsidTr="00E712B3">
        <w:trPr>
          <w:trHeight w:val="288"/>
        </w:trPr>
        <w:tc>
          <w:tcPr>
            <w:tcW w:w="783" w:type="pct"/>
            <w:tcBorders>
              <w:top w:val="nil"/>
              <w:left w:val="nil"/>
              <w:bottom w:val="nil"/>
              <w:right w:val="nil"/>
            </w:tcBorders>
            <w:shd w:val="clear" w:color="auto" w:fill="auto"/>
            <w:noWrap/>
            <w:hideMark/>
          </w:tcPr>
          <w:p w14:paraId="6DBB89E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36" w:type="pct"/>
            <w:tcBorders>
              <w:top w:val="nil"/>
              <w:left w:val="nil"/>
              <w:bottom w:val="nil"/>
              <w:right w:val="nil"/>
            </w:tcBorders>
            <w:shd w:val="clear" w:color="auto" w:fill="auto"/>
            <w:noWrap/>
            <w:hideMark/>
          </w:tcPr>
          <w:p w14:paraId="4EA67EE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-3.8912</w:t>
            </w:r>
          </w:p>
        </w:tc>
        <w:tc>
          <w:tcPr>
            <w:tcW w:w="261" w:type="pct"/>
            <w:tcBorders>
              <w:top w:val="nil"/>
              <w:left w:val="nil"/>
              <w:bottom w:val="nil"/>
              <w:right w:val="nil"/>
            </w:tcBorders>
            <w:shd w:val="clear" w:color="auto" w:fill="auto"/>
            <w:noWrap/>
            <w:vAlign w:val="center"/>
            <w:hideMark/>
          </w:tcPr>
          <w:p w14:paraId="645FDE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4CD878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(-2.43)</w:t>
            </w:r>
          </w:p>
        </w:tc>
        <w:tc>
          <w:tcPr>
            <w:tcW w:w="1436" w:type="pct"/>
            <w:tcBorders>
              <w:top w:val="nil"/>
              <w:left w:val="nil"/>
              <w:bottom w:val="nil"/>
              <w:right w:val="nil"/>
            </w:tcBorders>
            <w:shd w:val="clear" w:color="auto" w:fill="auto"/>
            <w:noWrap/>
            <w:hideMark/>
          </w:tcPr>
          <w:p w14:paraId="278F723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3.2892</w:t>
            </w:r>
          </w:p>
        </w:tc>
        <w:tc>
          <w:tcPr>
            <w:tcW w:w="261" w:type="pct"/>
            <w:tcBorders>
              <w:top w:val="nil"/>
              <w:left w:val="nil"/>
              <w:bottom w:val="nil"/>
              <w:right w:val="nil"/>
            </w:tcBorders>
            <w:shd w:val="clear" w:color="auto" w:fill="auto"/>
            <w:noWrap/>
            <w:vAlign w:val="center"/>
            <w:hideMark/>
          </w:tcPr>
          <w:p w14:paraId="451D724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5B721B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r>
      <w:tr w:rsidR="00E712B3" w:rsidRPr="00E712B3" w14:paraId="3822E7B3" w14:textId="77777777" w:rsidTr="00E712B3">
        <w:trPr>
          <w:trHeight w:val="288"/>
        </w:trPr>
        <w:tc>
          <w:tcPr>
            <w:tcW w:w="783" w:type="pct"/>
            <w:tcBorders>
              <w:top w:val="nil"/>
              <w:left w:val="nil"/>
              <w:bottom w:val="nil"/>
              <w:right w:val="nil"/>
            </w:tcBorders>
            <w:shd w:val="clear" w:color="auto" w:fill="auto"/>
            <w:noWrap/>
            <w:hideMark/>
          </w:tcPr>
          <w:p w14:paraId="6A8DFAB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36" w:type="pct"/>
            <w:tcBorders>
              <w:top w:val="nil"/>
              <w:left w:val="nil"/>
              <w:bottom w:val="nil"/>
              <w:right w:val="nil"/>
            </w:tcBorders>
            <w:shd w:val="clear" w:color="auto" w:fill="auto"/>
            <w:noWrap/>
            <w:hideMark/>
          </w:tcPr>
          <w:p w14:paraId="63D8A3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-5.2569</w:t>
            </w:r>
          </w:p>
        </w:tc>
        <w:tc>
          <w:tcPr>
            <w:tcW w:w="261" w:type="pct"/>
            <w:tcBorders>
              <w:top w:val="nil"/>
              <w:left w:val="nil"/>
              <w:bottom w:val="nil"/>
              <w:right w:val="nil"/>
            </w:tcBorders>
            <w:shd w:val="clear" w:color="auto" w:fill="auto"/>
            <w:noWrap/>
            <w:vAlign w:val="center"/>
            <w:hideMark/>
          </w:tcPr>
          <w:p w14:paraId="090F42C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2981F5C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(-1.76)</w:t>
            </w:r>
          </w:p>
        </w:tc>
        <w:tc>
          <w:tcPr>
            <w:tcW w:w="1436" w:type="pct"/>
            <w:tcBorders>
              <w:top w:val="nil"/>
              <w:left w:val="nil"/>
              <w:bottom w:val="nil"/>
              <w:right w:val="nil"/>
            </w:tcBorders>
            <w:shd w:val="clear" w:color="auto" w:fill="auto"/>
            <w:noWrap/>
            <w:hideMark/>
          </w:tcPr>
          <w:p w14:paraId="79BECE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-0.8549</w:t>
            </w:r>
          </w:p>
        </w:tc>
        <w:tc>
          <w:tcPr>
            <w:tcW w:w="261" w:type="pct"/>
            <w:tcBorders>
              <w:top w:val="nil"/>
              <w:left w:val="nil"/>
              <w:bottom w:val="nil"/>
              <w:right w:val="nil"/>
            </w:tcBorders>
            <w:shd w:val="clear" w:color="auto" w:fill="auto"/>
            <w:noWrap/>
            <w:vAlign w:val="center"/>
            <w:hideMark/>
          </w:tcPr>
          <w:p w14:paraId="2806C959"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276711C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977511" w14:textId="77777777" w:rsidTr="00E712B3">
        <w:trPr>
          <w:trHeight w:val="288"/>
        </w:trPr>
        <w:tc>
          <w:tcPr>
            <w:tcW w:w="783" w:type="pct"/>
            <w:tcBorders>
              <w:top w:val="nil"/>
              <w:left w:val="nil"/>
              <w:bottom w:val="nil"/>
              <w:right w:val="nil"/>
            </w:tcBorders>
            <w:shd w:val="clear" w:color="auto" w:fill="auto"/>
            <w:noWrap/>
            <w:hideMark/>
          </w:tcPr>
          <w:p w14:paraId="2E1F8C0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36" w:type="pct"/>
            <w:tcBorders>
              <w:top w:val="nil"/>
              <w:left w:val="nil"/>
              <w:bottom w:val="nil"/>
              <w:right w:val="nil"/>
            </w:tcBorders>
            <w:shd w:val="clear" w:color="auto" w:fill="auto"/>
            <w:noWrap/>
            <w:hideMark/>
          </w:tcPr>
          <w:p w14:paraId="0B4BC5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-0.6821</w:t>
            </w:r>
          </w:p>
        </w:tc>
        <w:tc>
          <w:tcPr>
            <w:tcW w:w="261" w:type="pct"/>
            <w:tcBorders>
              <w:top w:val="nil"/>
              <w:left w:val="nil"/>
              <w:bottom w:val="nil"/>
              <w:right w:val="nil"/>
            </w:tcBorders>
            <w:shd w:val="clear" w:color="auto" w:fill="auto"/>
            <w:noWrap/>
            <w:vAlign w:val="center"/>
            <w:hideMark/>
          </w:tcPr>
          <w:p w14:paraId="74EE55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65122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(-0.88)</w:t>
            </w:r>
          </w:p>
        </w:tc>
        <w:tc>
          <w:tcPr>
            <w:tcW w:w="1436" w:type="pct"/>
            <w:tcBorders>
              <w:top w:val="nil"/>
              <w:left w:val="nil"/>
              <w:bottom w:val="nil"/>
              <w:right w:val="nil"/>
            </w:tcBorders>
            <w:shd w:val="clear" w:color="auto" w:fill="auto"/>
            <w:noWrap/>
            <w:hideMark/>
          </w:tcPr>
          <w:p w14:paraId="21B4B0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-0.6904</w:t>
            </w:r>
          </w:p>
        </w:tc>
        <w:tc>
          <w:tcPr>
            <w:tcW w:w="261" w:type="pct"/>
            <w:tcBorders>
              <w:top w:val="nil"/>
              <w:left w:val="nil"/>
              <w:bottom w:val="nil"/>
              <w:right w:val="nil"/>
            </w:tcBorders>
            <w:shd w:val="clear" w:color="auto" w:fill="auto"/>
            <w:noWrap/>
            <w:vAlign w:val="center"/>
            <w:hideMark/>
          </w:tcPr>
          <w:p w14:paraId="2BEF0A2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0C64582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(-1.07)</w:t>
            </w:r>
          </w:p>
        </w:tc>
      </w:tr>
      <w:tr w:rsidR="00E712B3" w:rsidRPr="00E712B3" w14:paraId="7175FC8E" w14:textId="77777777" w:rsidTr="00E712B3">
        <w:trPr>
          <w:trHeight w:val="288"/>
        </w:trPr>
        <w:tc>
          <w:tcPr>
            <w:tcW w:w="783" w:type="pct"/>
            <w:tcBorders>
              <w:top w:val="nil"/>
              <w:left w:val="nil"/>
              <w:bottom w:val="nil"/>
              <w:right w:val="nil"/>
            </w:tcBorders>
            <w:shd w:val="clear" w:color="auto" w:fill="auto"/>
            <w:noWrap/>
            <w:hideMark/>
          </w:tcPr>
          <w:p w14:paraId="4D72C1ED"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36" w:type="pct"/>
            <w:tcBorders>
              <w:top w:val="nil"/>
              <w:left w:val="nil"/>
              <w:bottom w:val="nil"/>
              <w:right w:val="nil"/>
            </w:tcBorders>
            <w:shd w:val="clear" w:color="auto" w:fill="auto"/>
            <w:noWrap/>
            <w:hideMark/>
          </w:tcPr>
          <w:p w14:paraId="4686762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-0.3792</w:t>
            </w:r>
          </w:p>
        </w:tc>
        <w:tc>
          <w:tcPr>
            <w:tcW w:w="261" w:type="pct"/>
            <w:tcBorders>
              <w:top w:val="nil"/>
              <w:left w:val="nil"/>
              <w:bottom w:val="nil"/>
              <w:right w:val="nil"/>
            </w:tcBorders>
            <w:shd w:val="clear" w:color="auto" w:fill="auto"/>
            <w:noWrap/>
            <w:vAlign w:val="center"/>
            <w:hideMark/>
          </w:tcPr>
          <w:p w14:paraId="2F6F2E9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75B968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(-3.00)</w:t>
            </w:r>
          </w:p>
        </w:tc>
        <w:tc>
          <w:tcPr>
            <w:tcW w:w="1436" w:type="pct"/>
            <w:tcBorders>
              <w:top w:val="nil"/>
              <w:left w:val="nil"/>
              <w:bottom w:val="nil"/>
              <w:right w:val="nil"/>
            </w:tcBorders>
            <w:shd w:val="clear" w:color="auto" w:fill="auto"/>
            <w:noWrap/>
            <w:hideMark/>
          </w:tcPr>
          <w:p w14:paraId="6FAA5E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0.1658</w:t>
            </w:r>
          </w:p>
        </w:tc>
        <w:tc>
          <w:tcPr>
            <w:tcW w:w="261" w:type="pct"/>
            <w:tcBorders>
              <w:top w:val="nil"/>
              <w:left w:val="nil"/>
              <w:bottom w:val="nil"/>
              <w:right w:val="nil"/>
            </w:tcBorders>
            <w:shd w:val="clear" w:color="auto" w:fill="auto"/>
            <w:noWrap/>
            <w:vAlign w:val="center"/>
            <w:hideMark/>
          </w:tcPr>
          <w:p w14:paraId="75FB540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5D402A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(1.47)</w:t>
            </w:r>
          </w:p>
        </w:tc>
      </w:tr>
      <w:tr w:rsidR="00E712B3" w:rsidRPr="00E712B3" w14:paraId="2DB332DF" w14:textId="77777777" w:rsidTr="00E712B3">
        <w:trPr>
          <w:trHeight w:val="288"/>
        </w:trPr>
        <w:tc>
          <w:tcPr>
            <w:tcW w:w="783" w:type="pct"/>
            <w:tcBorders>
              <w:top w:val="nil"/>
              <w:left w:val="nil"/>
              <w:bottom w:val="single" w:sz="4" w:space="0" w:color="auto"/>
              <w:right w:val="nil"/>
            </w:tcBorders>
            <w:shd w:val="clear" w:color="auto" w:fill="auto"/>
            <w:noWrap/>
            <w:vAlign w:val="center"/>
            <w:hideMark/>
          </w:tcPr>
          <w:p w14:paraId="5666CF8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36" w:type="pct"/>
            <w:tcBorders>
              <w:top w:val="nil"/>
              <w:left w:val="nil"/>
              <w:bottom w:val="single" w:sz="4" w:space="0" w:color="auto"/>
              <w:right w:val="nil"/>
            </w:tcBorders>
            <w:shd w:val="clear" w:color="auto" w:fill="auto"/>
            <w:noWrap/>
            <w:hideMark/>
          </w:tcPr>
          <w:p w14:paraId="4133E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261" w:type="pct"/>
            <w:tcBorders>
              <w:top w:val="nil"/>
              <w:left w:val="nil"/>
              <w:bottom w:val="single" w:sz="4" w:space="0" w:color="auto"/>
              <w:right w:val="nil"/>
            </w:tcBorders>
            <w:shd w:val="clear" w:color="auto" w:fill="auto"/>
            <w:noWrap/>
            <w:vAlign w:val="center"/>
            <w:hideMark/>
          </w:tcPr>
          <w:p w14:paraId="7EFB247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4" w:space="0" w:color="auto"/>
              <w:right w:val="nil"/>
            </w:tcBorders>
            <w:shd w:val="clear" w:color="auto" w:fill="auto"/>
            <w:noWrap/>
            <w:hideMark/>
          </w:tcPr>
          <w:p w14:paraId="03B226C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w:t>
            </w:r>
          </w:p>
        </w:tc>
        <w:tc>
          <w:tcPr>
            <w:tcW w:w="1436" w:type="pct"/>
            <w:tcBorders>
              <w:top w:val="nil"/>
              <w:left w:val="nil"/>
              <w:bottom w:val="single" w:sz="4" w:space="0" w:color="auto"/>
              <w:right w:val="nil"/>
            </w:tcBorders>
            <w:shd w:val="clear" w:color="auto" w:fill="auto"/>
            <w:noWrap/>
            <w:hideMark/>
          </w:tcPr>
          <w:p w14:paraId="648629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-0.3376</w:t>
            </w:r>
          </w:p>
        </w:tc>
        <w:tc>
          <w:tcPr>
            <w:tcW w:w="261" w:type="pct"/>
            <w:tcBorders>
              <w:top w:val="nil"/>
              <w:left w:val="nil"/>
              <w:bottom w:val="single" w:sz="4" w:space="0" w:color="auto"/>
              <w:right w:val="nil"/>
            </w:tcBorders>
            <w:shd w:val="clear" w:color="auto" w:fill="auto"/>
            <w:noWrap/>
            <w:vAlign w:val="center"/>
            <w:hideMark/>
          </w:tcPr>
          <w:p w14:paraId="09E207F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single" w:sz="4" w:space="0" w:color="auto"/>
              <w:right w:val="nil"/>
            </w:tcBorders>
            <w:shd w:val="clear" w:color="auto" w:fill="auto"/>
            <w:noWrap/>
            <w:hideMark/>
          </w:tcPr>
          <w:p w14:paraId="3F57F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r>
      <w:tr w:rsidR="00E712B3" w:rsidRPr="00E712B3" w14:paraId="1184AF0F" w14:textId="77777777" w:rsidTr="00E712B3">
        <w:trPr>
          <w:trHeight w:val="288"/>
        </w:trPr>
        <w:tc>
          <w:tcPr>
            <w:tcW w:w="783" w:type="pct"/>
            <w:tcBorders>
              <w:top w:val="nil"/>
              <w:left w:val="nil"/>
              <w:bottom w:val="nil"/>
              <w:right w:val="nil"/>
            </w:tcBorders>
            <w:shd w:val="clear" w:color="auto" w:fill="auto"/>
            <w:noWrap/>
            <w:hideMark/>
          </w:tcPr>
          <w:p w14:paraId="4EB36D3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36" w:type="pct"/>
            <w:tcBorders>
              <w:top w:val="nil"/>
              <w:left w:val="nil"/>
              <w:bottom w:val="nil"/>
              <w:right w:val="nil"/>
            </w:tcBorders>
            <w:shd w:val="clear" w:color="auto" w:fill="auto"/>
            <w:noWrap/>
            <w:hideMark/>
          </w:tcPr>
          <w:p w14:paraId="54713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16266E7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5B67D165"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38D9028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7843ECE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0E3782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0215D7F" w14:textId="77777777" w:rsidTr="00E712B3">
        <w:trPr>
          <w:trHeight w:val="330"/>
        </w:trPr>
        <w:tc>
          <w:tcPr>
            <w:tcW w:w="783" w:type="pct"/>
            <w:tcBorders>
              <w:top w:val="nil"/>
              <w:left w:val="nil"/>
              <w:bottom w:val="nil"/>
              <w:right w:val="nil"/>
            </w:tcBorders>
            <w:shd w:val="clear" w:color="auto" w:fill="auto"/>
            <w:noWrap/>
            <w:vAlign w:val="center"/>
            <w:hideMark/>
          </w:tcPr>
          <w:p w14:paraId="2A3C8B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36" w:type="pct"/>
            <w:tcBorders>
              <w:top w:val="nil"/>
              <w:left w:val="nil"/>
              <w:bottom w:val="nil"/>
              <w:right w:val="nil"/>
            </w:tcBorders>
            <w:shd w:val="clear" w:color="auto" w:fill="auto"/>
            <w:noWrap/>
            <w:hideMark/>
          </w:tcPr>
          <w:p w14:paraId="6FCDBC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3.622%</w:t>
            </w:r>
          </w:p>
        </w:tc>
        <w:tc>
          <w:tcPr>
            <w:tcW w:w="261" w:type="pct"/>
            <w:tcBorders>
              <w:top w:val="nil"/>
              <w:left w:val="nil"/>
              <w:bottom w:val="nil"/>
              <w:right w:val="nil"/>
            </w:tcBorders>
            <w:shd w:val="clear" w:color="auto" w:fill="auto"/>
            <w:noWrap/>
            <w:vAlign w:val="bottom"/>
            <w:hideMark/>
          </w:tcPr>
          <w:p w14:paraId="42C75A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74E0C13F"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6D6276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2.099%</w:t>
            </w:r>
          </w:p>
        </w:tc>
        <w:tc>
          <w:tcPr>
            <w:tcW w:w="261" w:type="pct"/>
            <w:tcBorders>
              <w:top w:val="nil"/>
              <w:left w:val="nil"/>
              <w:bottom w:val="nil"/>
              <w:right w:val="nil"/>
            </w:tcBorders>
            <w:shd w:val="clear" w:color="auto" w:fill="auto"/>
            <w:noWrap/>
            <w:vAlign w:val="bottom"/>
            <w:hideMark/>
          </w:tcPr>
          <w:p w14:paraId="7562A32C"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41AB868"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6ECD94B1" w14:textId="77777777" w:rsidTr="00E712B3">
        <w:trPr>
          <w:trHeight w:val="294"/>
        </w:trPr>
        <w:tc>
          <w:tcPr>
            <w:tcW w:w="783" w:type="pct"/>
            <w:tcBorders>
              <w:top w:val="nil"/>
              <w:left w:val="nil"/>
              <w:bottom w:val="single" w:sz="8" w:space="0" w:color="auto"/>
              <w:right w:val="nil"/>
            </w:tcBorders>
            <w:shd w:val="clear" w:color="auto" w:fill="auto"/>
            <w:noWrap/>
            <w:vAlign w:val="center"/>
            <w:hideMark/>
          </w:tcPr>
          <w:p w14:paraId="4B0CCAA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36" w:type="pct"/>
            <w:tcBorders>
              <w:top w:val="nil"/>
              <w:left w:val="nil"/>
              <w:bottom w:val="single" w:sz="8" w:space="0" w:color="auto"/>
              <w:right w:val="nil"/>
            </w:tcBorders>
            <w:shd w:val="clear" w:color="auto" w:fill="auto"/>
            <w:noWrap/>
            <w:hideMark/>
          </w:tcPr>
          <w:p w14:paraId="44C7F3F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45E614A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26B33C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36" w:type="pct"/>
            <w:tcBorders>
              <w:top w:val="nil"/>
              <w:left w:val="nil"/>
              <w:bottom w:val="single" w:sz="8" w:space="0" w:color="auto"/>
              <w:right w:val="nil"/>
            </w:tcBorders>
            <w:shd w:val="clear" w:color="auto" w:fill="auto"/>
            <w:noWrap/>
            <w:hideMark/>
          </w:tcPr>
          <w:p w14:paraId="4512F84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03CC129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46F2E1C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2064ECC5" w14:textId="21554822"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004400"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9</w:t>
      </w:r>
      <w:r w:rsidR="00004400"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00004400"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00004400"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Non-quantitative (or qualitative) FWLs and Quantitative FWLs</w:t>
      </w:r>
      <w:r w:rsidR="00004400" w:rsidRPr="00004400">
        <w:rPr>
          <w:rFonts w:ascii="Times New Roman" w:eastAsia="Times New Roman" w:hAnsi="Times New Roman" w:cs="Times New Roman"/>
          <w:color w:val="000000"/>
          <w:sz w:val="20"/>
          <w:szCs w:val="20"/>
        </w:rPr>
        <w:t>.</w:t>
      </w:r>
      <w:r w:rsidR="00004400">
        <w:rPr>
          <w:rFonts w:ascii="Times New Roman" w:eastAsia="Times New Roman" w:hAnsi="Times New Roman" w:cs="Times New Roman"/>
          <w:color w:val="000000"/>
          <w:sz w:val="20"/>
          <w:szCs w:val="20"/>
        </w:rPr>
        <w:t xml:space="preserve"> </w:t>
      </w:r>
      <w:r w:rsidR="00D60021">
        <w:rPr>
          <w:rFonts w:ascii="Times New Roman" w:eastAsia="Times New Roman" w:hAnsi="Times New Roman" w:cs="Times New Roman"/>
          <w:color w:val="000000"/>
          <w:sz w:val="20"/>
          <w:szCs w:val="20"/>
        </w:rPr>
        <w:t>Q</w:t>
      </w:r>
      <w:r w:rsidR="00D60021" w:rsidRPr="00D60021">
        <w:rPr>
          <w:rFonts w:ascii="Times New Roman" w:eastAsia="Times New Roman" w:hAnsi="Times New Roman" w:cs="Times New Roman"/>
          <w:color w:val="000000"/>
          <w:sz w:val="20"/>
          <w:szCs w:val="20"/>
        </w:rPr>
        <w:t>ualitative</w:t>
      </w:r>
      <w:r w:rsidR="00004400" w:rsidRPr="00D60021">
        <w:rPr>
          <w:rFonts w:ascii="Times New Roman" w:eastAsia="Times New Roman" w:hAnsi="Times New Roman" w:cs="Times New Roman"/>
          <w:color w:val="000000"/>
          <w:sz w:val="20"/>
          <w:szCs w:val="20"/>
        </w:rPr>
        <w:t xml:space="preserve"> FWLs</w:t>
      </w:r>
      <w:r w:rsidR="00D60021">
        <w:rPr>
          <w:rFonts w:ascii="Times New Roman" w:eastAsia="Times New Roman" w:hAnsi="Times New Roman" w:cs="Times New Roman"/>
          <w:color w:val="000000"/>
          <w:sz w:val="20"/>
          <w:szCs w:val="20"/>
        </w:rPr>
        <w:t xml:space="preserve"> (NQT_FWLs)</w:t>
      </w:r>
      <w:r w:rsidR="00004400" w:rsidRPr="00D60021">
        <w:rPr>
          <w:rFonts w:ascii="Times New Roman" w:eastAsia="Times New Roman" w:hAnsi="Times New Roman" w:cs="Times New Roman"/>
          <w:color w:val="000000"/>
          <w:sz w:val="20"/>
          <w:szCs w:val="20"/>
        </w:rPr>
        <w:t xml:space="preserve"> are defined as the </w:t>
      </w:r>
      <w:r w:rsidR="0083594C">
        <w:rPr>
          <w:rFonts w:ascii="Times New Roman" w:eastAsia="Times New Roman" w:hAnsi="Times New Roman" w:cs="Times New Roman"/>
          <w:color w:val="000000"/>
          <w:sz w:val="20"/>
          <w:szCs w:val="20"/>
        </w:rPr>
        <w:t>percentage</w:t>
      </w:r>
      <w:r w:rsidR="00004400"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quantitative term (e.g., “thousands”, “millions”, “5M”, or “10B”) in the presentation and response of the conference call. </w:t>
      </w:r>
      <w:r w:rsidR="00D60021">
        <w:rPr>
          <w:rFonts w:ascii="Times New Roman" w:eastAsia="Times New Roman" w:hAnsi="Times New Roman" w:cs="Times New Roman"/>
          <w:color w:val="000000"/>
          <w:sz w:val="20"/>
          <w:szCs w:val="20"/>
        </w:rPr>
        <w:t>Q</w:t>
      </w:r>
      <w:r w:rsidR="00004400" w:rsidRPr="00004400">
        <w:rPr>
          <w:rFonts w:ascii="Times New Roman" w:eastAsia="Times New Roman" w:hAnsi="Times New Roman" w:cs="Times New Roman"/>
          <w:color w:val="000000"/>
          <w:sz w:val="20"/>
          <w:szCs w:val="20"/>
        </w:rPr>
        <w:t>uantitative FWLs</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QNT_FWLs</w:t>
      </w:r>
      <w:r w:rsidR="00D60021">
        <w:rPr>
          <w:rFonts w:ascii="Times New Roman" w:eastAsia="Times New Roman" w:hAnsi="Times New Roman" w:cs="Times New Roman"/>
          <w:color w:val="000000"/>
          <w:sz w:val="20"/>
          <w:szCs w:val="20"/>
        </w:rPr>
        <w:t>)</w:t>
      </w:r>
      <w:r w:rsidR="00004400" w:rsidRPr="00004400">
        <w:rPr>
          <w:rFonts w:ascii="Times New Roman" w:eastAsia="Times New Roman" w:hAnsi="Times New Roman" w:cs="Times New Roman"/>
          <w:color w:val="000000"/>
          <w:sz w:val="20"/>
          <w:szCs w:val="20"/>
        </w:rPr>
        <w:t xml:space="preserve"> are defined as the number of sentences containing a forward-looking term (e.g., “company expects” or “firm projects”) and a quantitative term (e.g., “thousands”, “millions”, “5M”, or “10B”) in the presentation and response of the conference call.</w:t>
      </w:r>
      <w:r w:rsid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DEED972" w14:textId="00F53A2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AC58B9D" w14:textId="37D13746"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70425C1F" w14:textId="425C028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EDA12FE" w14:textId="12DCE5F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F6FE3F7" w14:textId="0CEF3262"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F6C9E76" w14:textId="2E6A042A"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42E88C3"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1CFD7C9"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7D49BFF5" w14:textId="40629A8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115607C7"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33C69B34"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52E04A53" w14:textId="130CF2E5"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C: </w:t>
      </w:r>
      <w:r w:rsidR="00E712B3" w:rsidRPr="00B14ECE">
        <w:rPr>
          <w:rFonts w:ascii="Times New Roman" w:eastAsia="Times New Roman" w:hAnsi="Times New Roman" w:cs="Times New Roman"/>
          <w:bCs/>
          <w:i/>
          <w:color w:val="000000"/>
          <w:sz w:val="24"/>
        </w:rPr>
        <w:t xml:space="preserve">Earnings versus Non-earnings Forward-looking Statements  </w:t>
      </w:r>
    </w:p>
    <w:tbl>
      <w:tblPr>
        <w:tblW w:w="5000" w:type="pct"/>
        <w:tblLook w:val="04A0" w:firstRow="1" w:lastRow="0" w:firstColumn="1" w:lastColumn="0" w:noHBand="0" w:noVBand="1"/>
      </w:tblPr>
      <w:tblGrid>
        <w:gridCol w:w="2105"/>
        <w:gridCol w:w="2187"/>
        <w:gridCol w:w="546"/>
        <w:gridCol w:w="858"/>
        <w:gridCol w:w="2187"/>
        <w:gridCol w:w="546"/>
        <w:gridCol w:w="931"/>
      </w:tblGrid>
      <w:tr w:rsidR="00E712B3" w:rsidRPr="00E712B3" w14:paraId="6C03F38B" w14:textId="77777777" w:rsidTr="00004400">
        <w:trPr>
          <w:trHeight w:val="306"/>
        </w:trPr>
        <w:tc>
          <w:tcPr>
            <w:tcW w:w="977" w:type="pct"/>
            <w:tcBorders>
              <w:top w:val="single" w:sz="4" w:space="0" w:color="auto"/>
              <w:left w:val="nil"/>
              <w:bottom w:val="single" w:sz="4" w:space="0" w:color="auto"/>
              <w:right w:val="nil"/>
            </w:tcBorders>
            <w:shd w:val="clear" w:color="auto" w:fill="auto"/>
            <w:noWrap/>
            <w:vAlign w:val="center"/>
            <w:hideMark/>
          </w:tcPr>
          <w:p w14:paraId="0F6D3728"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29" w:type="pct"/>
            <w:gridSpan w:val="3"/>
            <w:tcBorders>
              <w:top w:val="single" w:sz="4" w:space="0" w:color="auto"/>
              <w:left w:val="nil"/>
              <w:bottom w:val="single" w:sz="4" w:space="0" w:color="auto"/>
              <w:right w:val="nil"/>
            </w:tcBorders>
            <w:shd w:val="clear" w:color="auto" w:fill="auto"/>
            <w:noWrap/>
            <w:vAlign w:val="bottom"/>
            <w:hideMark/>
          </w:tcPr>
          <w:p w14:paraId="6BE9C5A8"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NRN_FWLs</w:t>
            </w:r>
          </w:p>
        </w:tc>
        <w:tc>
          <w:tcPr>
            <w:tcW w:w="1995" w:type="pct"/>
            <w:gridSpan w:val="3"/>
            <w:tcBorders>
              <w:top w:val="single" w:sz="4" w:space="0" w:color="auto"/>
              <w:left w:val="nil"/>
              <w:bottom w:val="single" w:sz="4" w:space="0" w:color="auto"/>
              <w:right w:val="nil"/>
            </w:tcBorders>
            <w:shd w:val="clear" w:color="auto" w:fill="auto"/>
            <w:noWrap/>
            <w:vAlign w:val="bottom"/>
            <w:hideMark/>
          </w:tcPr>
          <w:p w14:paraId="0250AC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ERN_FWLs</w:t>
            </w:r>
          </w:p>
        </w:tc>
      </w:tr>
      <w:tr w:rsidR="00E712B3" w:rsidRPr="00E712B3" w14:paraId="6D469DD2" w14:textId="77777777" w:rsidTr="00004400">
        <w:trPr>
          <w:trHeight w:val="288"/>
        </w:trPr>
        <w:tc>
          <w:tcPr>
            <w:tcW w:w="977" w:type="pct"/>
            <w:tcBorders>
              <w:top w:val="nil"/>
              <w:left w:val="nil"/>
              <w:bottom w:val="nil"/>
              <w:right w:val="nil"/>
            </w:tcBorders>
            <w:shd w:val="clear" w:color="auto" w:fill="auto"/>
            <w:noWrap/>
            <w:vAlign w:val="bottom"/>
            <w:hideMark/>
          </w:tcPr>
          <w:p w14:paraId="6EA31F38"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29" w:type="pct"/>
            <w:gridSpan w:val="3"/>
            <w:tcBorders>
              <w:top w:val="nil"/>
              <w:left w:val="nil"/>
              <w:bottom w:val="single" w:sz="4" w:space="0" w:color="auto"/>
              <w:right w:val="nil"/>
            </w:tcBorders>
            <w:shd w:val="clear" w:color="auto" w:fill="auto"/>
            <w:noWrap/>
            <w:vAlign w:val="bottom"/>
            <w:hideMark/>
          </w:tcPr>
          <w:p w14:paraId="02F1A4B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1995" w:type="pct"/>
            <w:gridSpan w:val="3"/>
            <w:tcBorders>
              <w:top w:val="nil"/>
              <w:left w:val="nil"/>
              <w:bottom w:val="single" w:sz="4" w:space="0" w:color="auto"/>
              <w:right w:val="nil"/>
            </w:tcBorders>
            <w:shd w:val="clear" w:color="auto" w:fill="auto"/>
            <w:noWrap/>
            <w:vAlign w:val="bottom"/>
            <w:hideMark/>
          </w:tcPr>
          <w:p w14:paraId="0B483C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DFEFBB" w14:textId="77777777" w:rsidTr="00004400">
        <w:trPr>
          <w:trHeight w:val="288"/>
        </w:trPr>
        <w:tc>
          <w:tcPr>
            <w:tcW w:w="977" w:type="pct"/>
            <w:tcBorders>
              <w:top w:val="nil"/>
              <w:left w:val="nil"/>
              <w:bottom w:val="single" w:sz="4" w:space="0" w:color="auto"/>
              <w:right w:val="nil"/>
            </w:tcBorders>
            <w:shd w:val="clear" w:color="auto" w:fill="auto"/>
            <w:noWrap/>
            <w:vAlign w:val="bottom"/>
            <w:hideMark/>
          </w:tcPr>
          <w:p w14:paraId="49217A8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382" w:type="pct"/>
            <w:tcBorders>
              <w:top w:val="single" w:sz="4" w:space="0" w:color="auto"/>
              <w:left w:val="nil"/>
              <w:bottom w:val="single" w:sz="4" w:space="0" w:color="auto"/>
              <w:right w:val="nil"/>
            </w:tcBorders>
            <w:shd w:val="clear" w:color="auto" w:fill="auto"/>
            <w:noWrap/>
            <w:vAlign w:val="bottom"/>
            <w:hideMark/>
          </w:tcPr>
          <w:p w14:paraId="2465E09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7366A5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95" w:type="pct"/>
            <w:tcBorders>
              <w:top w:val="single" w:sz="4" w:space="0" w:color="auto"/>
              <w:left w:val="nil"/>
              <w:bottom w:val="single" w:sz="4" w:space="0" w:color="auto"/>
              <w:right w:val="nil"/>
            </w:tcBorders>
            <w:shd w:val="clear" w:color="auto" w:fill="auto"/>
            <w:noWrap/>
            <w:vAlign w:val="bottom"/>
            <w:hideMark/>
          </w:tcPr>
          <w:p w14:paraId="43E8F2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382" w:type="pct"/>
            <w:tcBorders>
              <w:top w:val="single" w:sz="4" w:space="0" w:color="auto"/>
              <w:left w:val="nil"/>
              <w:bottom w:val="single" w:sz="4" w:space="0" w:color="auto"/>
              <w:right w:val="nil"/>
            </w:tcBorders>
            <w:shd w:val="clear" w:color="auto" w:fill="auto"/>
            <w:noWrap/>
            <w:vAlign w:val="bottom"/>
            <w:hideMark/>
          </w:tcPr>
          <w:p w14:paraId="5AA262BB"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22B285D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62" w:type="pct"/>
            <w:tcBorders>
              <w:top w:val="single" w:sz="4" w:space="0" w:color="auto"/>
              <w:left w:val="nil"/>
              <w:bottom w:val="single" w:sz="4" w:space="0" w:color="auto"/>
              <w:right w:val="nil"/>
            </w:tcBorders>
            <w:shd w:val="clear" w:color="auto" w:fill="auto"/>
            <w:noWrap/>
            <w:vAlign w:val="bottom"/>
            <w:hideMark/>
          </w:tcPr>
          <w:p w14:paraId="35C53DC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57EABD1F" w14:textId="77777777" w:rsidTr="00E712B3">
        <w:trPr>
          <w:trHeight w:val="288"/>
        </w:trPr>
        <w:tc>
          <w:tcPr>
            <w:tcW w:w="977" w:type="pct"/>
            <w:tcBorders>
              <w:top w:val="nil"/>
              <w:left w:val="nil"/>
              <w:bottom w:val="nil"/>
              <w:right w:val="nil"/>
            </w:tcBorders>
            <w:shd w:val="clear" w:color="auto" w:fill="auto"/>
            <w:noWrap/>
            <w:vAlign w:val="bottom"/>
            <w:hideMark/>
          </w:tcPr>
          <w:p w14:paraId="2BFCBD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382" w:type="pct"/>
            <w:tcBorders>
              <w:top w:val="nil"/>
              <w:left w:val="nil"/>
              <w:bottom w:val="nil"/>
              <w:right w:val="nil"/>
            </w:tcBorders>
            <w:shd w:val="clear" w:color="auto" w:fill="auto"/>
            <w:noWrap/>
            <w:hideMark/>
          </w:tcPr>
          <w:p w14:paraId="19EFD5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20.541</w:t>
            </w:r>
          </w:p>
        </w:tc>
        <w:tc>
          <w:tcPr>
            <w:tcW w:w="251" w:type="pct"/>
            <w:tcBorders>
              <w:top w:val="nil"/>
              <w:left w:val="nil"/>
              <w:bottom w:val="nil"/>
              <w:right w:val="nil"/>
            </w:tcBorders>
            <w:shd w:val="clear" w:color="auto" w:fill="auto"/>
            <w:noWrap/>
            <w:vAlign w:val="center"/>
            <w:hideMark/>
          </w:tcPr>
          <w:p w14:paraId="20EB0D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74630F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(21.22)</w:t>
            </w:r>
          </w:p>
        </w:tc>
        <w:tc>
          <w:tcPr>
            <w:tcW w:w="1382" w:type="pct"/>
            <w:tcBorders>
              <w:top w:val="nil"/>
              <w:left w:val="nil"/>
              <w:bottom w:val="nil"/>
              <w:right w:val="nil"/>
            </w:tcBorders>
            <w:shd w:val="clear" w:color="auto" w:fill="auto"/>
            <w:noWrap/>
            <w:hideMark/>
          </w:tcPr>
          <w:p w14:paraId="175055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0.5629</w:t>
            </w:r>
          </w:p>
        </w:tc>
        <w:tc>
          <w:tcPr>
            <w:tcW w:w="251" w:type="pct"/>
            <w:tcBorders>
              <w:top w:val="nil"/>
              <w:left w:val="nil"/>
              <w:bottom w:val="nil"/>
              <w:right w:val="nil"/>
            </w:tcBorders>
            <w:shd w:val="clear" w:color="auto" w:fill="auto"/>
            <w:noWrap/>
            <w:vAlign w:val="center"/>
            <w:hideMark/>
          </w:tcPr>
          <w:p w14:paraId="7FEBC6E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33AF5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(3.53)</w:t>
            </w:r>
          </w:p>
        </w:tc>
      </w:tr>
      <w:tr w:rsidR="00E712B3" w:rsidRPr="00E712B3" w14:paraId="1E3EC450" w14:textId="77777777" w:rsidTr="00E712B3">
        <w:trPr>
          <w:trHeight w:val="288"/>
        </w:trPr>
        <w:tc>
          <w:tcPr>
            <w:tcW w:w="977" w:type="pct"/>
            <w:tcBorders>
              <w:top w:val="nil"/>
              <w:left w:val="nil"/>
              <w:bottom w:val="nil"/>
              <w:right w:val="nil"/>
            </w:tcBorders>
            <w:shd w:val="clear" w:color="auto" w:fill="auto"/>
            <w:noWrap/>
            <w:hideMark/>
          </w:tcPr>
          <w:p w14:paraId="6366301E"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382" w:type="pct"/>
            <w:tcBorders>
              <w:top w:val="nil"/>
              <w:left w:val="nil"/>
              <w:bottom w:val="nil"/>
              <w:right w:val="nil"/>
            </w:tcBorders>
            <w:shd w:val="clear" w:color="auto" w:fill="auto"/>
            <w:noWrap/>
            <w:hideMark/>
          </w:tcPr>
          <w:p w14:paraId="6250D14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0.0092</w:t>
            </w:r>
          </w:p>
        </w:tc>
        <w:tc>
          <w:tcPr>
            <w:tcW w:w="251" w:type="pct"/>
            <w:tcBorders>
              <w:top w:val="nil"/>
              <w:left w:val="nil"/>
              <w:bottom w:val="nil"/>
              <w:right w:val="nil"/>
            </w:tcBorders>
            <w:shd w:val="clear" w:color="auto" w:fill="auto"/>
            <w:noWrap/>
            <w:vAlign w:val="center"/>
            <w:hideMark/>
          </w:tcPr>
          <w:p w14:paraId="51797D97"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395" w:type="pct"/>
            <w:tcBorders>
              <w:top w:val="nil"/>
              <w:left w:val="nil"/>
              <w:bottom w:val="nil"/>
              <w:right w:val="nil"/>
            </w:tcBorders>
            <w:shd w:val="clear" w:color="auto" w:fill="auto"/>
            <w:noWrap/>
            <w:hideMark/>
          </w:tcPr>
          <w:p w14:paraId="3CD3D9C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(2.09)</w:t>
            </w:r>
          </w:p>
        </w:tc>
        <w:tc>
          <w:tcPr>
            <w:tcW w:w="1382" w:type="pct"/>
            <w:tcBorders>
              <w:top w:val="nil"/>
              <w:left w:val="nil"/>
              <w:bottom w:val="nil"/>
              <w:right w:val="nil"/>
            </w:tcBorders>
            <w:shd w:val="clear" w:color="auto" w:fill="auto"/>
            <w:noWrap/>
            <w:hideMark/>
          </w:tcPr>
          <w:p w14:paraId="26578669"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-0.0011</w:t>
            </w:r>
          </w:p>
        </w:tc>
        <w:tc>
          <w:tcPr>
            <w:tcW w:w="251" w:type="pct"/>
            <w:tcBorders>
              <w:top w:val="nil"/>
              <w:left w:val="nil"/>
              <w:bottom w:val="nil"/>
              <w:right w:val="nil"/>
            </w:tcBorders>
            <w:shd w:val="clear" w:color="auto" w:fill="auto"/>
            <w:noWrap/>
            <w:vAlign w:val="center"/>
            <w:hideMark/>
          </w:tcPr>
          <w:p w14:paraId="06CC2411" w14:textId="77777777" w:rsidR="00E712B3" w:rsidRPr="00E712B3" w:rsidRDefault="00E712B3" w:rsidP="00E712B3">
            <w:pPr>
              <w:jc w:val="right"/>
              <w:rPr>
                <w:rFonts w:ascii="Times New Roman" w:eastAsia="Times New Roman" w:hAnsi="Times New Roman" w:cs="Times New Roman"/>
                <w:b/>
                <w:bCs/>
                <w:color w:val="000000"/>
              </w:rPr>
            </w:pPr>
          </w:p>
        </w:tc>
        <w:tc>
          <w:tcPr>
            <w:tcW w:w="362" w:type="pct"/>
            <w:tcBorders>
              <w:top w:val="nil"/>
              <w:left w:val="nil"/>
              <w:bottom w:val="nil"/>
              <w:right w:val="nil"/>
            </w:tcBorders>
            <w:shd w:val="clear" w:color="auto" w:fill="auto"/>
            <w:noWrap/>
            <w:hideMark/>
          </w:tcPr>
          <w:p w14:paraId="6090634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(-1.00)</w:t>
            </w:r>
          </w:p>
        </w:tc>
      </w:tr>
      <w:tr w:rsidR="00E712B3" w:rsidRPr="00E712B3" w14:paraId="51214494" w14:textId="77777777" w:rsidTr="00E712B3">
        <w:trPr>
          <w:trHeight w:val="288"/>
        </w:trPr>
        <w:tc>
          <w:tcPr>
            <w:tcW w:w="977" w:type="pct"/>
            <w:tcBorders>
              <w:top w:val="nil"/>
              <w:left w:val="nil"/>
              <w:bottom w:val="nil"/>
              <w:right w:val="nil"/>
            </w:tcBorders>
            <w:shd w:val="clear" w:color="auto" w:fill="auto"/>
            <w:noWrap/>
            <w:hideMark/>
          </w:tcPr>
          <w:p w14:paraId="68FDF92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382" w:type="pct"/>
            <w:tcBorders>
              <w:top w:val="nil"/>
              <w:left w:val="nil"/>
              <w:bottom w:val="nil"/>
              <w:right w:val="nil"/>
            </w:tcBorders>
            <w:shd w:val="clear" w:color="auto" w:fill="auto"/>
            <w:noWrap/>
            <w:hideMark/>
          </w:tcPr>
          <w:p w14:paraId="724BD03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-0.5222</w:t>
            </w:r>
          </w:p>
        </w:tc>
        <w:tc>
          <w:tcPr>
            <w:tcW w:w="251" w:type="pct"/>
            <w:tcBorders>
              <w:top w:val="nil"/>
              <w:left w:val="nil"/>
              <w:bottom w:val="nil"/>
              <w:right w:val="nil"/>
            </w:tcBorders>
            <w:shd w:val="clear" w:color="auto" w:fill="auto"/>
            <w:noWrap/>
            <w:vAlign w:val="center"/>
            <w:hideMark/>
          </w:tcPr>
          <w:p w14:paraId="61809F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1E66AA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(-7.34)</w:t>
            </w:r>
          </w:p>
        </w:tc>
        <w:tc>
          <w:tcPr>
            <w:tcW w:w="1382" w:type="pct"/>
            <w:tcBorders>
              <w:top w:val="nil"/>
              <w:left w:val="nil"/>
              <w:bottom w:val="nil"/>
              <w:right w:val="nil"/>
            </w:tcBorders>
            <w:shd w:val="clear" w:color="auto" w:fill="auto"/>
            <w:noWrap/>
            <w:hideMark/>
          </w:tcPr>
          <w:p w14:paraId="6396C3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0.0819</w:t>
            </w:r>
          </w:p>
        </w:tc>
        <w:tc>
          <w:tcPr>
            <w:tcW w:w="251" w:type="pct"/>
            <w:tcBorders>
              <w:top w:val="nil"/>
              <w:left w:val="nil"/>
              <w:bottom w:val="nil"/>
              <w:right w:val="nil"/>
            </w:tcBorders>
            <w:shd w:val="clear" w:color="auto" w:fill="auto"/>
            <w:noWrap/>
            <w:vAlign w:val="center"/>
            <w:hideMark/>
          </w:tcPr>
          <w:p w14:paraId="29E3C0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14AE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(5.41)</w:t>
            </w:r>
          </w:p>
        </w:tc>
      </w:tr>
      <w:tr w:rsidR="00E712B3" w:rsidRPr="00E712B3" w14:paraId="1367B6BE" w14:textId="77777777" w:rsidTr="00E712B3">
        <w:trPr>
          <w:trHeight w:val="288"/>
        </w:trPr>
        <w:tc>
          <w:tcPr>
            <w:tcW w:w="977" w:type="pct"/>
            <w:tcBorders>
              <w:top w:val="nil"/>
              <w:left w:val="nil"/>
              <w:bottom w:val="nil"/>
              <w:right w:val="nil"/>
            </w:tcBorders>
            <w:shd w:val="clear" w:color="auto" w:fill="auto"/>
            <w:noWrap/>
            <w:hideMark/>
          </w:tcPr>
          <w:p w14:paraId="0450C99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382" w:type="pct"/>
            <w:tcBorders>
              <w:top w:val="nil"/>
              <w:left w:val="nil"/>
              <w:bottom w:val="nil"/>
              <w:right w:val="nil"/>
            </w:tcBorders>
            <w:shd w:val="clear" w:color="auto" w:fill="auto"/>
            <w:noWrap/>
            <w:hideMark/>
          </w:tcPr>
          <w:p w14:paraId="2A5382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0.0032</w:t>
            </w:r>
          </w:p>
        </w:tc>
        <w:tc>
          <w:tcPr>
            <w:tcW w:w="251" w:type="pct"/>
            <w:tcBorders>
              <w:top w:val="nil"/>
              <w:left w:val="nil"/>
              <w:bottom w:val="nil"/>
              <w:right w:val="nil"/>
            </w:tcBorders>
            <w:shd w:val="clear" w:color="auto" w:fill="auto"/>
            <w:noWrap/>
            <w:vAlign w:val="center"/>
            <w:hideMark/>
          </w:tcPr>
          <w:p w14:paraId="60CDA2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4BD1938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(1.88)</w:t>
            </w:r>
          </w:p>
        </w:tc>
        <w:tc>
          <w:tcPr>
            <w:tcW w:w="1382" w:type="pct"/>
            <w:tcBorders>
              <w:top w:val="nil"/>
              <w:left w:val="nil"/>
              <w:bottom w:val="nil"/>
              <w:right w:val="nil"/>
            </w:tcBorders>
            <w:shd w:val="clear" w:color="auto" w:fill="auto"/>
            <w:noWrap/>
            <w:hideMark/>
          </w:tcPr>
          <w:p w14:paraId="4216273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-0.0005</w:t>
            </w:r>
          </w:p>
        </w:tc>
        <w:tc>
          <w:tcPr>
            <w:tcW w:w="251" w:type="pct"/>
            <w:tcBorders>
              <w:top w:val="nil"/>
              <w:left w:val="nil"/>
              <w:bottom w:val="nil"/>
              <w:right w:val="nil"/>
            </w:tcBorders>
            <w:shd w:val="clear" w:color="auto" w:fill="auto"/>
            <w:noWrap/>
            <w:vAlign w:val="center"/>
            <w:hideMark/>
          </w:tcPr>
          <w:p w14:paraId="66EC5701"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13D2A7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(-0.74)</w:t>
            </w:r>
          </w:p>
        </w:tc>
      </w:tr>
      <w:tr w:rsidR="00E712B3" w:rsidRPr="00E712B3" w14:paraId="1B92959C" w14:textId="77777777" w:rsidTr="00E712B3">
        <w:trPr>
          <w:trHeight w:val="288"/>
        </w:trPr>
        <w:tc>
          <w:tcPr>
            <w:tcW w:w="977" w:type="pct"/>
            <w:tcBorders>
              <w:top w:val="nil"/>
              <w:left w:val="nil"/>
              <w:bottom w:val="nil"/>
              <w:right w:val="nil"/>
            </w:tcBorders>
            <w:shd w:val="clear" w:color="auto" w:fill="auto"/>
            <w:noWrap/>
            <w:hideMark/>
          </w:tcPr>
          <w:p w14:paraId="0CDA651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382" w:type="pct"/>
            <w:tcBorders>
              <w:top w:val="nil"/>
              <w:left w:val="nil"/>
              <w:bottom w:val="nil"/>
              <w:right w:val="nil"/>
            </w:tcBorders>
            <w:shd w:val="clear" w:color="auto" w:fill="auto"/>
            <w:noWrap/>
            <w:hideMark/>
          </w:tcPr>
          <w:p w14:paraId="3165544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-0.6515</w:t>
            </w:r>
          </w:p>
        </w:tc>
        <w:tc>
          <w:tcPr>
            <w:tcW w:w="251" w:type="pct"/>
            <w:tcBorders>
              <w:top w:val="nil"/>
              <w:left w:val="nil"/>
              <w:bottom w:val="nil"/>
              <w:right w:val="nil"/>
            </w:tcBorders>
            <w:shd w:val="clear" w:color="auto" w:fill="auto"/>
            <w:noWrap/>
            <w:vAlign w:val="center"/>
            <w:hideMark/>
          </w:tcPr>
          <w:p w14:paraId="175E629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1AF7E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1382" w:type="pct"/>
            <w:tcBorders>
              <w:top w:val="nil"/>
              <w:left w:val="nil"/>
              <w:bottom w:val="nil"/>
              <w:right w:val="nil"/>
            </w:tcBorders>
            <w:shd w:val="clear" w:color="auto" w:fill="auto"/>
            <w:noWrap/>
            <w:hideMark/>
          </w:tcPr>
          <w:p w14:paraId="338F49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0.5731</w:t>
            </w:r>
          </w:p>
        </w:tc>
        <w:tc>
          <w:tcPr>
            <w:tcW w:w="251" w:type="pct"/>
            <w:tcBorders>
              <w:top w:val="nil"/>
              <w:left w:val="nil"/>
              <w:bottom w:val="nil"/>
              <w:right w:val="nil"/>
            </w:tcBorders>
            <w:shd w:val="clear" w:color="auto" w:fill="auto"/>
            <w:noWrap/>
            <w:vAlign w:val="center"/>
            <w:hideMark/>
          </w:tcPr>
          <w:p w14:paraId="1AF7B54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BF2C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(5.10)</w:t>
            </w:r>
          </w:p>
        </w:tc>
      </w:tr>
      <w:tr w:rsidR="00E712B3" w:rsidRPr="00E712B3" w14:paraId="6BF15815" w14:textId="77777777" w:rsidTr="00E712B3">
        <w:trPr>
          <w:trHeight w:val="288"/>
        </w:trPr>
        <w:tc>
          <w:tcPr>
            <w:tcW w:w="977" w:type="pct"/>
            <w:tcBorders>
              <w:top w:val="nil"/>
              <w:left w:val="nil"/>
              <w:bottom w:val="nil"/>
              <w:right w:val="nil"/>
            </w:tcBorders>
            <w:shd w:val="clear" w:color="auto" w:fill="auto"/>
            <w:noWrap/>
            <w:hideMark/>
          </w:tcPr>
          <w:p w14:paraId="6182492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382" w:type="pct"/>
            <w:tcBorders>
              <w:top w:val="nil"/>
              <w:left w:val="nil"/>
              <w:bottom w:val="nil"/>
              <w:right w:val="nil"/>
            </w:tcBorders>
            <w:shd w:val="clear" w:color="auto" w:fill="auto"/>
            <w:noWrap/>
            <w:hideMark/>
          </w:tcPr>
          <w:p w14:paraId="5E3D41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-0.2228</w:t>
            </w:r>
          </w:p>
        </w:tc>
        <w:tc>
          <w:tcPr>
            <w:tcW w:w="251" w:type="pct"/>
            <w:tcBorders>
              <w:top w:val="nil"/>
              <w:left w:val="nil"/>
              <w:bottom w:val="nil"/>
              <w:right w:val="nil"/>
            </w:tcBorders>
            <w:shd w:val="clear" w:color="auto" w:fill="auto"/>
            <w:noWrap/>
            <w:vAlign w:val="center"/>
            <w:hideMark/>
          </w:tcPr>
          <w:p w14:paraId="6F17C684"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7E279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(-1.31)</w:t>
            </w:r>
          </w:p>
        </w:tc>
        <w:tc>
          <w:tcPr>
            <w:tcW w:w="1382" w:type="pct"/>
            <w:tcBorders>
              <w:top w:val="nil"/>
              <w:left w:val="nil"/>
              <w:bottom w:val="nil"/>
              <w:right w:val="nil"/>
            </w:tcBorders>
            <w:shd w:val="clear" w:color="auto" w:fill="auto"/>
            <w:noWrap/>
            <w:hideMark/>
          </w:tcPr>
          <w:p w14:paraId="50849C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0.0896</w:t>
            </w:r>
          </w:p>
        </w:tc>
        <w:tc>
          <w:tcPr>
            <w:tcW w:w="251" w:type="pct"/>
            <w:tcBorders>
              <w:top w:val="nil"/>
              <w:left w:val="nil"/>
              <w:bottom w:val="nil"/>
              <w:right w:val="nil"/>
            </w:tcBorders>
            <w:shd w:val="clear" w:color="auto" w:fill="auto"/>
            <w:noWrap/>
            <w:vAlign w:val="center"/>
            <w:hideMark/>
          </w:tcPr>
          <w:p w14:paraId="0A6DB92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E64CBF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(3.44)</w:t>
            </w:r>
          </w:p>
        </w:tc>
      </w:tr>
      <w:tr w:rsidR="00E712B3" w:rsidRPr="00E712B3" w14:paraId="4E2EF907" w14:textId="77777777" w:rsidTr="00E712B3">
        <w:trPr>
          <w:trHeight w:val="288"/>
        </w:trPr>
        <w:tc>
          <w:tcPr>
            <w:tcW w:w="977" w:type="pct"/>
            <w:tcBorders>
              <w:top w:val="nil"/>
              <w:left w:val="nil"/>
              <w:bottom w:val="nil"/>
              <w:right w:val="nil"/>
            </w:tcBorders>
            <w:shd w:val="clear" w:color="auto" w:fill="auto"/>
            <w:noWrap/>
            <w:hideMark/>
          </w:tcPr>
          <w:p w14:paraId="24CD14E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382" w:type="pct"/>
            <w:tcBorders>
              <w:top w:val="nil"/>
              <w:left w:val="nil"/>
              <w:bottom w:val="nil"/>
              <w:right w:val="nil"/>
            </w:tcBorders>
            <w:shd w:val="clear" w:color="auto" w:fill="auto"/>
            <w:noWrap/>
            <w:hideMark/>
          </w:tcPr>
          <w:p w14:paraId="6AA83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3.0361</w:t>
            </w:r>
          </w:p>
        </w:tc>
        <w:tc>
          <w:tcPr>
            <w:tcW w:w="251" w:type="pct"/>
            <w:tcBorders>
              <w:top w:val="nil"/>
              <w:left w:val="nil"/>
              <w:bottom w:val="nil"/>
              <w:right w:val="nil"/>
            </w:tcBorders>
            <w:shd w:val="clear" w:color="auto" w:fill="auto"/>
            <w:noWrap/>
            <w:vAlign w:val="center"/>
            <w:hideMark/>
          </w:tcPr>
          <w:p w14:paraId="5217011F"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792F0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(0.93)</w:t>
            </w:r>
          </w:p>
        </w:tc>
        <w:tc>
          <w:tcPr>
            <w:tcW w:w="1382" w:type="pct"/>
            <w:tcBorders>
              <w:top w:val="nil"/>
              <w:left w:val="nil"/>
              <w:bottom w:val="nil"/>
              <w:right w:val="nil"/>
            </w:tcBorders>
            <w:shd w:val="clear" w:color="auto" w:fill="auto"/>
            <w:noWrap/>
            <w:hideMark/>
          </w:tcPr>
          <w:p w14:paraId="3B263F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-1.1049</w:t>
            </w:r>
          </w:p>
        </w:tc>
        <w:tc>
          <w:tcPr>
            <w:tcW w:w="251" w:type="pct"/>
            <w:tcBorders>
              <w:top w:val="nil"/>
              <w:left w:val="nil"/>
              <w:bottom w:val="nil"/>
              <w:right w:val="nil"/>
            </w:tcBorders>
            <w:shd w:val="clear" w:color="auto" w:fill="auto"/>
            <w:noWrap/>
            <w:vAlign w:val="center"/>
            <w:hideMark/>
          </w:tcPr>
          <w:p w14:paraId="4565E55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711BA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(-1.66)</w:t>
            </w:r>
          </w:p>
        </w:tc>
      </w:tr>
      <w:tr w:rsidR="00E712B3" w:rsidRPr="00E712B3" w14:paraId="12A061D7" w14:textId="77777777" w:rsidTr="00E712B3">
        <w:trPr>
          <w:trHeight w:val="288"/>
        </w:trPr>
        <w:tc>
          <w:tcPr>
            <w:tcW w:w="977" w:type="pct"/>
            <w:tcBorders>
              <w:top w:val="nil"/>
              <w:left w:val="nil"/>
              <w:bottom w:val="nil"/>
              <w:right w:val="nil"/>
            </w:tcBorders>
            <w:shd w:val="clear" w:color="auto" w:fill="auto"/>
            <w:noWrap/>
            <w:hideMark/>
          </w:tcPr>
          <w:p w14:paraId="7B146D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382" w:type="pct"/>
            <w:tcBorders>
              <w:top w:val="nil"/>
              <w:left w:val="nil"/>
              <w:bottom w:val="nil"/>
              <w:right w:val="nil"/>
            </w:tcBorders>
            <w:shd w:val="clear" w:color="auto" w:fill="auto"/>
            <w:noWrap/>
            <w:hideMark/>
          </w:tcPr>
          <w:p w14:paraId="59BA30F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0.0172</w:t>
            </w:r>
          </w:p>
        </w:tc>
        <w:tc>
          <w:tcPr>
            <w:tcW w:w="251" w:type="pct"/>
            <w:tcBorders>
              <w:top w:val="nil"/>
              <w:left w:val="nil"/>
              <w:bottom w:val="nil"/>
              <w:right w:val="nil"/>
            </w:tcBorders>
            <w:shd w:val="clear" w:color="auto" w:fill="auto"/>
            <w:noWrap/>
            <w:vAlign w:val="center"/>
            <w:hideMark/>
          </w:tcPr>
          <w:p w14:paraId="56F5C05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2CE165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c>
          <w:tcPr>
            <w:tcW w:w="1382" w:type="pct"/>
            <w:tcBorders>
              <w:top w:val="nil"/>
              <w:left w:val="nil"/>
              <w:bottom w:val="nil"/>
              <w:right w:val="nil"/>
            </w:tcBorders>
            <w:shd w:val="clear" w:color="auto" w:fill="auto"/>
            <w:noWrap/>
            <w:hideMark/>
          </w:tcPr>
          <w:p w14:paraId="5E02EF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-0.0146</w:t>
            </w:r>
          </w:p>
        </w:tc>
        <w:tc>
          <w:tcPr>
            <w:tcW w:w="251" w:type="pct"/>
            <w:tcBorders>
              <w:top w:val="nil"/>
              <w:left w:val="nil"/>
              <w:bottom w:val="nil"/>
              <w:right w:val="nil"/>
            </w:tcBorders>
            <w:shd w:val="clear" w:color="auto" w:fill="auto"/>
            <w:noWrap/>
            <w:vAlign w:val="center"/>
            <w:hideMark/>
          </w:tcPr>
          <w:p w14:paraId="3197C61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6973A3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(-11.02)</w:t>
            </w:r>
          </w:p>
        </w:tc>
      </w:tr>
      <w:tr w:rsidR="00E712B3" w:rsidRPr="00E712B3" w14:paraId="18296F18" w14:textId="77777777" w:rsidTr="00E712B3">
        <w:trPr>
          <w:trHeight w:val="288"/>
        </w:trPr>
        <w:tc>
          <w:tcPr>
            <w:tcW w:w="977" w:type="pct"/>
            <w:tcBorders>
              <w:top w:val="nil"/>
              <w:left w:val="nil"/>
              <w:bottom w:val="nil"/>
              <w:right w:val="nil"/>
            </w:tcBorders>
            <w:shd w:val="clear" w:color="auto" w:fill="auto"/>
            <w:noWrap/>
            <w:hideMark/>
          </w:tcPr>
          <w:p w14:paraId="2DD6282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382" w:type="pct"/>
            <w:tcBorders>
              <w:top w:val="nil"/>
              <w:left w:val="nil"/>
              <w:bottom w:val="nil"/>
              <w:right w:val="nil"/>
            </w:tcBorders>
            <w:shd w:val="clear" w:color="auto" w:fill="auto"/>
            <w:noWrap/>
            <w:hideMark/>
          </w:tcPr>
          <w:p w14:paraId="0BCE6E9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0.3784</w:t>
            </w:r>
          </w:p>
        </w:tc>
        <w:tc>
          <w:tcPr>
            <w:tcW w:w="251" w:type="pct"/>
            <w:tcBorders>
              <w:top w:val="nil"/>
              <w:left w:val="nil"/>
              <w:bottom w:val="nil"/>
              <w:right w:val="nil"/>
            </w:tcBorders>
            <w:shd w:val="clear" w:color="auto" w:fill="auto"/>
            <w:noWrap/>
            <w:vAlign w:val="center"/>
            <w:hideMark/>
          </w:tcPr>
          <w:p w14:paraId="0974EF86"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66158D4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w:t>
            </w:r>
          </w:p>
        </w:tc>
        <w:tc>
          <w:tcPr>
            <w:tcW w:w="1382" w:type="pct"/>
            <w:tcBorders>
              <w:top w:val="nil"/>
              <w:left w:val="nil"/>
              <w:bottom w:val="nil"/>
              <w:right w:val="nil"/>
            </w:tcBorders>
            <w:shd w:val="clear" w:color="auto" w:fill="auto"/>
            <w:noWrap/>
            <w:hideMark/>
          </w:tcPr>
          <w:p w14:paraId="63DA572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-0.3311</w:t>
            </w:r>
          </w:p>
        </w:tc>
        <w:tc>
          <w:tcPr>
            <w:tcW w:w="251" w:type="pct"/>
            <w:tcBorders>
              <w:top w:val="nil"/>
              <w:left w:val="nil"/>
              <w:bottom w:val="nil"/>
              <w:right w:val="nil"/>
            </w:tcBorders>
            <w:shd w:val="clear" w:color="auto" w:fill="auto"/>
            <w:noWrap/>
            <w:vAlign w:val="center"/>
            <w:hideMark/>
          </w:tcPr>
          <w:p w14:paraId="4A4D618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5A28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(-5.59)</w:t>
            </w:r>
          </w:p>
        </w:tc>
      </w:tr>
      <w:tr w:rsidR="00E712B3" w:rsidRPr="00E712B3" w14:paraId="09A0045B" w14:textId="77777777" w:rsidTr="00E712B3">
        <w:trPr>
          <w:trHeight w:val="288"/>
        </w:trPr>
        <w:tc>
          <w:tcPr>
            <w:tcW w:w="977" w:type="pct"/>
            <w:tcBorders>
              <w:top w:val="nil"/>
              <w:left w:val="nil"/>
              <w:bottom w:val="nil"/>
              <w:right w:val="nil"/>
            </w:tcBorders>
            <w:shd w:val="clear" w:color="auto" w:fill="auto"/>
            <w:noWrap/>
            <w:hideMark/>
          </w:tcPr>
          <w:p w14:paraId="08979F5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382" w:type="pct"/>
            <w:tcBorders>
              <w:top w:val="nil"/>
              <w:left w:val="nil"/>
              <w:bottom w:val="nil"/>
              <w:right w:val="nil"/>
            </w:tcBorders>
            <w:shd w:val="clear" w:color="auto" w:fill="auto"/>
            <w:noWrap/>
            <w:hideMark/>
          </w:tcPr>
          <w:p w14:paraId="3BC8D2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-1.5999</w:t>
            </w:r>
          </w:p>
        </w:tc>
        <w:tc>
          <w:tcPr>
            <w:tcW w:w="251" w:type="pct"/>
            <w:tcBorders>
              <w:top w:val="nil"/>
              <w:left w:val="nil"/>
              <w:bottom w:val="nil"/>
              <w:right w:val="nil"/>
            </w:tcBorders>
            <w:shd w:val="clear" w:color="auto" w:fill="auto"/>
            <w:noWrap/>
            <w:vAlign w:val="center"/>
            <w:hideMark/>
          </w:tcPr>
          <w:p w14:paraId="224348E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A5107F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(-0.75)</w:t>
            </w:r>
          </w:p>
        </w:tc>
        <w:tc>
          <w:tcPr>
            <w:tcW w:w="1382" w:type="pct"/>
            <w:tcBorders>
              <w:top w:val="nil"/>
              <w:left w:val="nil"/>
              <w:bottom w:val="nil"/>
              <w:right w:val="nil"/>
            </w:tcBorders>
            <w:shd w:val="clear" w:color="auto" w:fill="auto"/>
            <w:noWrap/>
            <w:hideMark/>
          </w:tcPr>
          <w:p w14:paraId="61AC13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0.9979</w:t>
            </w:r>
          </w:p>
        </w:tc>
        <w:tc>
          <w:tcPr>
            <w:tcW w:w="251" w:type="pct"/>
            <w:tcBorders>
              <w:top w:val="nil"/>
              <w:left w:val="nil"/>
              <w:bottom w:val="nil"/>
              <w:right w:val="nil"/>
            </w:tcBorders>
            <w:shd w:val="clear" w:color="auto" w:fill="auto"/>
            <w:noWrap/>
            <w:vAlign w:val="center"/>
            <w:hideMark/>
          </w:tcPr>
          <w:p w14:paraId="216B941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371DB4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(2.00)</w:t>
            </w:r>
          </w:p>
        </w:tc>
      </w:tr>
      <w:tr w:rsidR="00E712B3" w:rsidRPr="00E712B3" w14:paraId="5C99BF30" w14:textId="77777777" w:rsidTr="00E712B3">
        <w:trPr>
          <w:trHeight w:val="288"/>
        </w:trPr>
        <w:tc>
          <w:tcPr>
            <w:tcW w:w="977" w:type="pct"/>
            <w:tcBorders>
              <w:top w:val="nil"/>
              <w:left w:val="nil"/>
              <w:bottom w:val="nil"/>
              <w:right w:val="nil"/>
            </w:tcBorders>
            <w:shd w:val="clear" w:color="auto" w:fill="auto"/>
            <w:noWrap/>
            <w:hideMark/>
          </w:tcPr>
          <w:p w14:paraId="5AD3DE7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382" w:type="pct"/>
            <w:tcBorders>
              <w:top w:val="nil"/>
              <w:left w:val="nil"/>
              <w:bottom w:val="nil"/>
              <w:right w:val="nil"/>
            </w:tcBorders>
            <w:shd w:val="clear" w:color="auto" w:fill="auto"/>
            <w:noWrap/>
            <w:hideMark/>
          </w:tcPr>
          <w:p w14:paraId="0D0A590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-5.8421</w:t>
            </w:r>
          </w:p>
        </w:tc>
        <w:tc>
          <w:tcPr>
            <w:tcW w:w="251" w:type="pct"/>
            <w:tcBorders>
              <w:top w:val="nil"/>
              <w:left w:val="nil"/>
              <w:bottom w:val="nil"/>
              <w:right w:val="nil"/>
            </w:tcBorders>
            <w:shd w:val="clear" w:color="auto" w:fill="auto"/>
            <w:noWrap/>
            <w:vAlign w:val="center"/>
            <w:hideMark/>
          </w:tcPr>
          <w:p w14:paraId="6106BE5B"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AC18E3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4E798F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-0.2697</w:t>
            </w:r>
          </w:p>
        </w:tc>
        <w:tc>
          <w:tcPr>
            <w:tcW w:w="251" w:type="pct"/>
            <w:tcBorders>
              <w:top w:val="nil"/>
              <w:left w:val="nil"/>
              <w:bottom w:val="nil"/>
              <w:right w:val="nil"/>
            </w:tcBorders>
            <w:shd w:val="clear" w:color="auto" w:fill="auto"/>
            <w:noWrap/>
            <w:vAlign w:val="center"/>
            <w:hideMark/>
          </w:tcPr>
          <w:p w14:paraId="288A96F4"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67CDC8B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(-0.28)</w:t>
            </w:r>
          </w:p>
        </w:tc>
      </w:tr>
      <w:tr w:rsidR="00E712B3" w:rsidRPr="00E712B3" w14:paraId="7BA2AF74" w14:textId="77777777" w:rsidTr="00E712B3">
        <w:trPr>
          <w:trHeight w:val="288"/>
        </w:trPr>
        <w:tc>
          <w:tcPr>
            <w:tcW w:w="977" w:type="pct"/>
            <w:tcBorders>
              <w:top w:val="nil"/>
              <w:left w:val="nil"/>
              <w:bottom w:val="nil"/>
              <w:right w:val="nil"/>
            </w:tcBorders>
            <w:shd w:val="clear" w:color="auto" w:fill="auto"/>
            <w:noWrap/>
            <w:hideMark/>
          </w:tcPr>
          <w:p w14:paraId="114882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382" w:type="pct"/>
            <w:tcBorders>
              <w:top w:val="nil"/>
              <w:left w:val="nil"/>
              <w:bottom w:val="nil"/>
              <w:right w:val="nil"/>
            </w:tcBorders>
            <w:shd w:val="clear" w:color="auto" w:fill="auto"/>
            <w:noWrap/>
            <w:hideMark/>
          </w:tcPr>
          <w:p w14:paraId="25CF080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-1.4849</w:t>
            </w:r>
          </w:p>
        </w:tc>
        <w:tc>
          <w:tcPr>
            <w:tcW w:w="251" w:type="pct"/>
            <w:tcBorders>
              <w:top w:val="nil"/>
              <w:left w:val="nil"/>
              <w:bottom w:val="nil"/>
              <w:right w:val="nil"/>
            </w:tcBorders>
            <w:shd w:val="clear" w:color="auto" w:fill="auto"/>
            <w:noWrap/>
            <w:vAlign w:val="center"/>
            <w:hideMark/>
          </w:tcPr>
          <w:p w14:paraId="1273E3A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2F1B2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0D5B6A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0.1124</w:t>
            </w:r>
          </w:p>
        </w:tc>
        <w:tc>
          <w:tcPr>
            <w:tcW w:w="251" w:type="pct"/>
            <w:tcBorders>
              <w:top w:val="nil"/>
              <w:left w:val="nil"/>
              <w:bottom w:val="nil"/>
              <w:right w:val="nil"/>
            </w:tcBorders>
            <w:shd w:val="clear" w:color="auto" w:fill="auto"/>
            <w:noWrap/>
            <w:vAlign w:val="center"/>
            <w:hideMark/>
          </w:tcPr>
          <w:p w14:paraId="071BCD1B"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50983E8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(0.50)</w:t>
            </w:r>
          </w:p>
        </w:tc>
      </w:tr>
      <w:tr w:rsidR="00E712B3" w:rsidRPr="00E712B3" w14:paraId="6D0373C7" w14:textId="77777777" w:rsidTr="00E712B3">
        <w:trPr>
          <w:trHeight w:val="288"/>
        </w:trPr>
        <w:tc>
          <w:tcPr>
            <w:tcW w:w="977" w:type="pct"/>
            <w:tcBorders>
              <w:top w:val="nil"/>
              <w:left w:val="nil"/>
              <w:bottom w:val="nil"/>
              <w:right w:val="nil"/>
            </w:tcBorders>
            <w:shd w:val="clear" w:color="auto" w:fill="auto"/>
            <w:noWrap/>
            <w:hideMark/>
          </w:tcPr>
          <w:p w14:paraId="2B31F81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382" w:type="pct"/>
            <w:tcBorders>
              <w:top w:val="nil"/>
              <w:left w:val="nil"/>
              <w:bottom w:val="nil"/>
              <w:right w:val="nil"/>
            </w:tcBorders>
            <w:shd w:val="clear" w:color="auto" w:fill="auto"/>
            <w:noWrap/>
            <w:hideMark/>
          </w:tcPr>
          <w:p w14:paraId="37085DD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-0.3130</w:t>
            </w:r>
          </w:p>
        </w:tc>
        <w:tc>
          <w:tcPr>
            <w:tcW w:w="251" w:type="pct"/>
            <w:tcBorders>
              <w:top w:val="nil"/>
              <w:left w:val="nil"/>
              <w:bottom w:val="nil"/>
              <w:right w:val="nil"/>
            </w:tcBorders>
            <w:shd w:val="clear" w:color="auto" w:fill="auto"/>
            <w:noWrap/>
            <w:vAlign w:val="center"/>
            <w:hideMark/>
          </w:tcPr>
          <w:p w14:paraId="570574E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07635DD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(-1.82)</w:t>
            </w:r>
          </w:p>
        </w:tc>
        <w:tc>
          <w:tcPr>
            <w:tcW w:w="1382" w:type="pct"/>
            <w:tcBorders>
              <w:top w:val="nil"/>
              <w:left w:val="nil"/>
              <w:bottom w:val="nil"/>
              <w:right w:val="nil"/>
            </w:tcBorders>
            <w:shd w:val="clear" w:color="auto" w:fill="auto"/>
            <w:noWrap/>
            <w:hideMark/>
          </w:tcPr>
          <w:p w14:paraId="0A132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0.0995</w:t>
            </w:r>
          </w:p>
        </w:tc>
        <w:tc>
          <w:tcPr>
            <w:tcW w:w="251" w:type="pct"/>
            <w:tcBorders>
              <w:top w:val="nil"/>
              <w:left w:val="nil"/>
              <w:bottom w:val="nil"/>
              <w:right w:val="nil"/>
            </w:tcBorders>
            <w:shd w:val="clear" w:color="auto" w:fill="auto"/>
            <w:noWrap/>
            <w:vAlign w:val="center"/>
            <w:hideMark/>
          </w:tcPr>
          <w:p w14:paraId="1B60630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5BC3438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(2.41)</w:t>
            </w:r>
          </w:p>
        </w:tc>
      </w:tr>
      <w:tr w:rsidR="00E712B3" w:rsidRPr="00E712B3" w14:paraId="153AD183" w14:textId="77777777" w:rsidTr="00E712B3">
        <w:trPr>
          <w:trHeight w:val="288"/>
        </w:trPr>
        <w:tc>
          <w:tcPr>
            <w:tcW w:w="977" w:type="pct"/>
            <w:tcBorders>
              <w:top w:val="nil"/>
              <w:left w:val="nil"/>
              <w:bottom w:val="single" w:sz="4" w:space="0" w:color="auto"/>
              <w:right w:val="nil"/>
            </w:tcBorders>
            <w:shd w:val="clear" w:color="auto" w:fill="auto"/>
            <w:noWrap/>
            <w:vAlign w:val="center"/>
            <w:hideMark/>
          </w:tcPr>
          <w:p w14:paraId="387D874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382" w:type="pct"/>
            <w:tcBorders>
              <w:top w:val="nil"/>
              <w:left w:val="nil"/>
              <w:bottom w:val="single" w:sz="4" w:space="0" w:color="auto"/>
              <w:right w:val="nil"/>
            </w:tcBorders>
            <w:shd w:val="clear" w:color="auto" w:fill="auto"/>
            <w:noWrap/>
            <w:hideMark/>
          </w:tcPr>
          <w:p w14:paraId="42BBEE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-0.1230</w:t>
            </w:r>
          </w:p>
        </w:tc>
        <w:tc>
          <w:tcPr>
            <w:tcW w:w="251" w:type="pct"/>
            <w:tcBorders>
              <w:top w:val="nil"/>
              <w:left w:val="nil"/>
              <w:bottom w:val="single" w:sz="4" w:space="0" w:color="auto"/>
              <w:right w:val="nil"/>
            </w:tcBorders>
            <w:shd w:val="clear" w:color="auto" w:fill="auto"/>
            <w:noWrap/>
            <w:vAlign w:val="center"/>
            <w:hideMark/>
          </w:tcPr>
          <w:p w14:paraId="3EAF51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4" w:space="0" w:color="auto"/>
              <w:right w:val="nil"/>
            </w:tcBorders>
            <w:shd w:val="clear" w:color="auto" w:fill="auto"/>
            <w:noWrap/>
            <w:hideMark/>
          </w:tcPr>
          <w:p w14:paraId="66C951C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(-0.64)</w:t>
            </w:r>
          </w:p>
        </w:tc>
        <w:tc>
          <w:tcPr>
            <w:tcW w:w="1382" w:type="pct"/>
            <w:tcBorders>
              <w:top w:val="nil"/>
              <w:left w:val="nil"/>
              <w:bottom w:val="single" w:sz="4" w:space="0" w:color="auto"/>
              <w:right w:val="nil"/>
            </w:tcBorders>
            <w:shd w:val="clear" w:color="auto" w:fill="auto"/>
            <w:noWrap/>
            <w:hideMark/>
          </w:tcPr>
          <w:p w14:paraId="545449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-0.2551</w:t>
            </w:r>
          </w:p>
        </w:tc>
        <w:tc>
          <w:tcPr>
            <w:tcW w:w="251" w:type="pct"/>
            <w:tcBorders>
              <w:top w:val="nil"/>
              <w:left w:val="nil"/>
              <w:bottom w:val="single" w:sz="4" w:space="0" w:color="auto"/>
              <w:right w:val="nil"/>
            </w:tcBorders>
            <w:shd w:val="clear" w:color="auto" w:fill="auto"/>
            <w:noWrap/>
            <w:vAlign w:val="center"/>
            <w:hideMark/>
          </w:tcPr>
          <w:p w14:paraId="409CD15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single" w:sz="4" w:space="0" w:color="auto"/>
              <w:right w:val="nil"/>
            </w:tcBorders>
            <w:shd w:val="clear" w:color="auto" w:fill="auto"/>
            <w:noWrap/>
            <w:hideMark/>
          </w:tcPr>
          <w:p w14:paraId="5B16D0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(-4.61)</w:t>
            </w:r>
          </w:p>
        </w:tc>
      </w:tr>
      <w:tr w:rsidR="00E712B3" w:rsidRPr="00E712B3" w14:paraId="4BF9A62A" w14:textId="77777777" w:rsidTr="00E712B3">
        <w:trPr>
          <w:trHeight w:val="288"/>
        </w:trPr>
        <w:tc>
          <w:tcPr>
            <w:tcW w:w="977" w:type="pct"/>
            <w:tcBorders>
              <w:top w:val="nil"/>
              <w:left w:val="nil"/>
              <w:bottom w:val="nil"/>
              <w:right w:val="nil"/>
            </w:tcBorders>
            <w:shd w:val="clear" w:color="auto" w:fill="auto"/>
            <w:noWrap/>
            <w:hideMark/>
          </w:tcPr>
          <w:p w14:paraId="0C84546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382" w:type="pct"/>
            <w:tcBorders>
              <w:top w:val="nil"/>
              <w:left w:val="nil"/>
              <w:bottom w:val="nil"/>
              <w:right w:val="nil"/>
            </w:tcBorders>
            <w:shd w:val="clear" w:color="auto" w:fill="auto"/>
            <w:noWrap/>
            <w:hideMark/>
          </w:tcPr>
          <w:p w14:paraId="4BA798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7785506E"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506B8F9C"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4971330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16C082B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72629BA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35A04BAF" w14:textId="77777777" w:rsidTr="00E712B3">
        <w:trPr>
          <w:trHeight w:val="330"/>
        </w:trPr>
        <w:tc>
          <w:tcPr>
            <w:tcW w:w="977" w:type="pct"/>
            <w:tcBorders>
              <w:top w:val="nil"/>
              <w:left w:val="nil"/>
              <w:bottom w:val="nil"/>
              <w:right w:val="nil"/>
            </w:tcBorders>
            <w:shd w:val="clear" w:color="auto" w:fill="auto"/>
            <w:noWrap/>
            <w:vAlign w:val="center"/>
            <w:hideMark/>
          </w:tcPr>
          <w:p w14:paraId="43686D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382" w:type="pct"/>
            <w:tcBorders>
              <w:top w:val="nil"/>
              <w:left w:val="nil"/>
              <w:bottom w:val="nil"/>
              <w:right w:val="nil"/>
            </w:tcBorders>
            <w:shd w:val="clear" w:color="auto" w:fill="auto"/>
            <w:noWrap/>
            <w:hideMark/>
          </w:tcPr>
          <w:p w14:paraId="182E62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3.730%</w:t>
            </w:r>
          </w:p>
        </w:tc>
        <w:tc>
          <w:tcPr>
            <w:tcW w:w="251" w:type="pct"/>
            <w:tcBorders>
              <w:top w:val="nil"/>
              <w:left w:val="nil"/>
              <w:bottom w:val="nil"/>
              <w:right w:val="nil"/>
            </w:tcBorders>
            <w:shd w:val="clear" w:color="auto" w:fill="auto"/>
            <w:noWrap/>
            <w:vAlign w:val="bottom"/>
            <w:hideMark/>
          </w:tcPr>
          <w:p w14:paraId="4676494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42E4F2DE"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644607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8.088%</w:t>
            </w:r>
          </w:p>
        </w:tc>
        <w:tc>
          <w:tcPr>
            <w:tcW w:w="251" w:type="pct"/>
            <w:tcBorders>
              <w:top w:val="nil"/>
              <w:left w:val="nil"/>
              <w:bottom w:val="nil"/>
              <w:right w:val="nil"/>
            </w:tcBorders>
            <w:shd w:val="clear" w:color="auto" w:fill="auto"/>
            <w:noWrap/>
            <w:vAlign w:val="bottom"/>
            <w:hideMark/>
          </w:tcPr>
          <w:p w14:paraId="6D9DF6A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600B895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2979A68" w14:textId="77777777" w:rsidTr="00E712B3">
        <w:trPr>
          <w:trHeight w:val="294"/>
        </w:trPr>
        <w:tc>
          <w:tcPr>
            <w:tcW w:w="977" w:type="pct"/>
            <w:tcBorders>
              <w:top w:val="nil"/>
              <w:left w:val="nil"/>
              <w:bottom w:val="single" w:sz="8" w:space="0" w:color="auto"/>
              <w:right w:val="nil"/>
            </w:tcBorders>
            <w:shd w:val="clear" w:color="auto" w:fill="auto"/>
            <w:noWrap/>
            <w:vAlign w:val="center"/>
            <w:hideMark/>
          </w:tcPr>
          <w:p w14:paraId="61844F3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382" w:type="pct"/>
            <w:tcBorders>
              <w:top w:val="nil"/>
              <w:left w:val="nil"/>
              <w:bottom w:val="single" w:sz="8" w:space="0" w:color="auto"/>
              <w:right w:val="nil"/>
            </w:tcBorders>
            <w:shd w:val="clear" w:color="auto" w:fill="auto"/>
            <w:noWrap/>
            <w:hideMark/>
          </w:tcPr>
          <w:p w14:paraId="2BDEE3B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20D3BAC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8" w:space="0" w:color="auto"/>
              <w:right w:val="nil"/>
            </w:tcBorders>
            <w:shd w:val="clear" w:color="auto" w:fill="auto"/>
            <w:noWrap/>
            <w:vAlign w:val="bottom"/>
            <w:hideMark/>
          </w:tcPr>
          <w:p w14:paraId="75B22EF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382" w:type="pct"/>
            <w:tcBorders>
              <w:top w:val="nil"/>
              <w:left w:val="nil"/>
              <w:bottom w:val="single" w:sz="8" w:space="0" w:color="auto"/>
              <w:right w:val="nil"/>
            </w:tcBorders>
            <w:shd w:val="clear" w:color="auto" w:fill="auto"/>
            <w:noWrap/>
            <w:hideMark/>
          </w:tcPr>
          <w:p w14:paraId="4FC0105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1640DC2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62" w:type="pct"/>
            <w:tcBorders>
              <w:top w:val="nil"/>
              <w:left w:val="nil"/>
              <w:bottom w:val="single" w:sz="8" w:space="0" w:color="auto"/>
              <w:right w:val="nil"/>
            </w:tcBorders>
            <w:shd w:val="clear" w:color="auto" w:fill="auto"/>
            <w:noWrap/>
            <w:vAlign w:val="bottom"/>
            <w:hideMark/>
          </w:tcPr>
          <w:p w14:paraId="514AEDF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7BE35A61" w14:textId="1933DF16" w:rsidR="00E712B3" w:rsidRPr="00E712B3" w:rsidRDefault="00E712B3" w:rsidP="00D60021">
      <w:pPr>
        <w:autoSpaceDE w:val="0"/>
        <w:autoSpaceDN w:val="0"/>
        <w:adjustRightInd w:val="0"/>
        <w:jc w:val="both"/>
        <w:rPr>
          <w:rFonts w:ascii="Times New Roman" w:eastAsia="Times New Roman" w:hAnsi="Times New Roman" w:cs="Times New Roman"/>
          <w:b/>
          <w:bCs/>
          <w:color w:val="000000"/>
          <w:sz w:val="24"/>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10</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non-earnings related FWLs and earnings-related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Non-earnings related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that do not contain an earnings term (e.g., “income” or “profit”) in the presentation and r</w:t>
      </w:r>
      <w:r w:rsidR="00D60021">
        <w:rPr>
          <w:rFonts w:ascii="Times New Roman" w:eastAsia="Times New Roman" w:hAnsi="Times New Roman" w:cs="Times New Roman"/>
          <w:color w:val="000000"/>
          <w:sz w:val="20"/>
          <w:szCs w:val="20"/>
        </w:rPr>
        <w:t xml:space="preserve">esponse of the conference call, following </w:t>
      </w:r>
      <w:proofErr w:type="spellStart"/>
      <w:r w:rsidR="00D60021">
        <w:rPr>
          <w:rFonts w:ascii="Times New Roman" w:eastAsia="Times New Roman" w:hAnsi="Times New Roman" w:cs="Times New Roman"/>
          <w:color w:val="000000"/>
          <w:sz w:val="20"/>
          <w:szCs w:val="20"/>
        </w:rPr>
        <w:t>Bozanic</w:t>
      </w:r>
      <w:proofErr w:type="spellEnd"/>
      <w:r w:rsidR="00D60021">
        <w:rPr>
          <w:rFonts w:ascii="Times New Roman" w:eastAsia="Times New Roman" w:hAnsi="Times New Roman" w:cs="Times New Roman"/>
          <w:color w:val="000000"/>
          <w:sz w:val="20"/>
          <w:szCs w:val="20"/>
        </w:rPr>
        <w:t xml:space="preserve"> et al. (2018). </w:t>
      </w:r>
      <w:r w:rsidR="00D60021" w:rsidRPr="00D60021">
        <w:rPr>
          <w:rFonts w:ascii="Times New Roman" w:eastAsia="Times New Roman" w:hAnsi="Times New Roman" w:cs="Times New Roman"/>
          <w:color w:val="000000"/>
          <w:sz w:val="20"/>
          <w:szCs w:val="20"/>
        </w:rPr>
        <w:t>Earnings-related FWLs are defined as the number of sentences containing a forward-looking term (e.g., “company expects” or “firm projects”) and an earnings term (e.g., “income” or “profit”) in the presentation and re</w:t>
      </w:r>
      <w:r w:rsidR="00D60021">
        <w:rPr>
          <w:rFonts w:ascii="Times New Roman" w:eastAsia="Times New Roman" w:hAnsi="Times New Roman" w:cs="Times New Roman"/>
          <w:color w:val="000000"/>
          <w:sz w:val="20"/>
          <w:szCs w:val="20"/>
        </w:rPr>
        <w:t xml:space="preserve">sponse of the conference call.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75A0A1BF" w14:textId="270E057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FF4B7F7" w14:textId="43B5473F"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C7B2577" w14:textId="75000D25"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E05392F" w14:textId="49D8E104"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203D2AF9" w14:textId="498D249C"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6C25C26" w14:textId="15EA497D"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4A229F75"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65F1688D" w14:textId="3F9B76A0"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7944E5D3"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678BC14" w14:textId="77777777" w:rsidR="00B14ECE" w:rsidRDefault="00B14ECE" w:rsidP="00B14ECE">
      <w:pPr>
        <w:autoSpaceDE w:val="0"/>
        <w:autoSpaceDN w:val="0"/>
        <w:adjustRightInd w:val="0"/>
        <w:ind w:left="540" w:hanging="540"/>
        <w:contextualSpacing/>
        <w:rPr>
          <w:rFonts w:ascii="Times New Roman" w:eastAsia="Times New Roman" w:hAnsi="Times New Roman" w:cs="Times New Roman"/>
          <w:b/>
          <w:bCs/>
          <w:color w:val="000000"/>
          <w:sz w:val="24"/>
        </w:rPr>
      </w:pPr>
    </w:p>
    <w:p w14:paraId="1B0299CB" w14:textId="22BA4DF2" w:rsidR="00E712B3" w:rsidRPr="00B14ECE" w:rsidRDefault="00B14ECE" w:rsidP="00B14ECE">
      <w:pPr>
        <w:autoSpaceDE w:val="0"/>
        <w:autoSpaceDN w:val="0"/>
        <w:adjustRightInd w:val="0"/>
        <w:ind w:left="540" w:hanging="540"/>
        <w:contextualSpacing/>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D: </w:t>
      </w:r>
      <w:r w:rsidR="00E712B3" w:rsidRPr="00B14ECE">
        <w:rPr>
          <w:rFonts w:ascii="Times New Roman" w:eastAsia="Times New Roman" w:hAnsi="Times New Roman" w:cs="Times New Roman"/>
          <w:bCs/>
          <w:i/>
          <w:color w:val="000000"/>
          <w:sz w:val="24"/>
        </w:rPr>
        <w:t xml:space="preserve">Financial versus Non-financial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7CEBB0A9" w14:textId="77777777" w:rsidTr="00E712B3">
        <w:trPr>
          <w:trHeight w:val="306"/>
        </w:trPr>
        <w:tc>
          <w:tcPr>
            <w:tcW w:w="848" w:type="pct"/>
            <w:tcBorders>
              <w:top w:val="single" w:sz="4" w:space="0" w:color="auto"/>
              <w:left w:val="nil"/>
              <w:bottom w:val="single" w:sz="4" w:space="0" w:color="auto"/>
              <w:right w:val="nil"/>
            </w:tcBorders>
            <w:shd w:val="clear" w:color="auto" w:fill="auto"/>
            <w:noWrap/>
            <w:vAlign w:val="center"/>
            <w:hideMark/>
          </w:tcPr>
          <w:p w14:paraId="46DAA23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4C8EA98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NFN_FWLs</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180B19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FIN_FWLs</w:t>
            </w:r>
          </w:p>
        </w:tc>
      </w:tr>
      <w:tr w:rsidR="00E712B3" w:rsidRPr="00E712B3" w14:paraId="5707A05A" w14:textId="77777777" w:rsidTr="00E712B3">
        <w:trPr>
          <w:trHeight w:val="288"/>
        </w:trPr>
        <w:tc>
          <w:tcPr>
            <w:tcW w:w="848" w:type="pct"/>
            <w:tcBorders>
              <w:top w:val="nil"/>
              <w:left w:val="nil"/>
              <w:bottom w:val="nil"/>
              <w:right w:val="nil"/>
            </w:tcBorders>
            <w:shd w:val="clear" w:color="auto" w:fill="auto"/>
            <w:noWrap/>
            <w:vAlign w:val="bottom"/>
            <w:hideMark/>
          </w:tcPr>
          <w:p w14:paraId="78E535E2"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76" w:type="pct"/>
            <w:gridSpan w:val="3"/>
            <w:tcBorders>
              <w:top w:val="nil"/>
              <w:left w:val="nil"/>
              <w:bottom w:val="single" w:sz="4" w:space="0" w:color="auto"/>
              <w:right w:val="nil"/>
            </w:tcBorders>
            <w:shd w:val="clear" w:color="auto" w:fill="auto"/>
            <w:noWrap/>
            <w:vAlign w:val="bottom"/>
            <w:hideMark/>
          </w:tcPr>
          <w:p w14:paraId="0C510DE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076" w:type="pct"/>
            <w:gridSpan w:val="3"/>
            <w:tcBorders>
              <w:top w:val="nil"/>
              <w:left w:val="nil"/>
              <w:bottom w:val="single" w:sz="4" w:space="0" w:color="auto"/>
              <w:right w:val="nil"/>
            </w:tcBorders>
            <w:shd w:val="clear" w:color="auto" w:fill="auto"/>
            <w:noWrap/>
            <w:vAlign w:val="bottom"/>
            <w:hideMark/>
          </w:tcPr>
          <w:p w14:paraId="1C8FE31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4E8C98A4" w14:textId="77777777" w:rsidTr="00E712B3">
        <w:trPr>
          <w:trHeight w:val="288"/>
        </w:trPr>
        <w:tc>
          <w:tcPr>
            <w:tcW w:w="848" w:type="pct"/>
            <w:tcBorders>
              <w:top w:val="nil"/>
              <w:left w:val="nil"/>
              <w:bottom w:val="single" w:sz="4" w:space="0" w:color="auto"/>
              <w:right w:val="nil"/>
            </w:tcBorders>
            <w:shd w:val="clear" w:color="auto" w:fill="auto"/>
            <w:noWrap/>
            <w:vAlign w:val="bottom"/>
            <w:hideMark/>
          </w:tcPr>
          <w:p w14:paraId="5A9F82F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14" w:type="pct"/>
            <w:tcBorders>
              <w:top w:val="nil"/>
              <w:left w:val="nil"/>
              <w:bottom w:val="single" w:sz="4" w:space="0" w:color="auto"/>
              <w:right w:val="nil"/>
            </w:tcBorders>
            <w:shd w:val="clear" w:color="auto" w:fill="auto"/>
            <w:noWrap/>
            <w:vAlign w:val="bottom"/>
            <w:hideMark/>
          </w:tcPr>
          <w:p w14:paraId="347061F9"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566B6D4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724C95E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14" w:type="pct"/>
            <w:tcBorders>
              <w:top w:val="nil"/>
              <w:left w:val="nil"/>
              <w:bottom w:val="single" w:sz="4" w:space="0" w:color="auto"/>
              <w:right w:val="nil"/>
            </w:tcBorders>
            <w:shd w:val="clear" w:color="auto" w:fill="auto"/>
            <w:noWrap/>
            <w:vAlign w:val="bottom"/>
            <w:hideMark/>
          </w:tcPr>
          <w:p w14:paraId="7F20DACC"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2A76B06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2659653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02AF0BE" w14:textId="77777777" w:rsidTr="00E712B3">
        <w:trPr>
          <w:trHeight w:val="288"/>
        </w:trPr>
        <w:tc>
          <w:tcPr>
            <w:tcW w:w="848" w:type="pct"/>
            <w:tcBorders>
              <w:top w:val="nil"/>
              <w:left w:val="nil"/>
              <w:bottom w:val="nil"/>
              <w:right w:val="nil"/>
            </w:tcBorders>
            <w:shd w:val="clear" w:color="auto" w:fill="auto"/>
            <w:noWrap/>
            <w:vAlign w:val="bottom"/>
            <w:hideMark/>
          </w:tcPr>
          <w:p w14:paraId="02C8A5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14" w:type="pct"/>
            <w:tcBorders>
              <w:top w:val="nil"/>
              <w:left w:val="nil"/>
              <w:bottom w:val="nil"/>
              <w:right w:val="nil"/>
            </w:tcBorders>
            <w:shd w:val="clear" w:color="auto" w:fill="auto"/>
            <w:noWrap/>
            <w:hideMark/>
          </w:tcPr>
          <w:p w14:paraId="66734C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11.5860</w:t>
            </w:r>
          </w:p>
        </w:tc>
        <w:tc>
          <w:tcPr>
            <w:tcW w:w="257" w:type="pct"/>
            <w:tcBorders>
              <w:top w:val="nil"/>
              <w:left w:val="nil"/>
              <w:bottom w:val="nil"/>
              <w:right w:val="nil"/>
            </w:tcBorders>
            <w:shd w:val="clear" w:color="auto" w:fill="auto"/>
            <w:noWrap/>
            <w:vAlign w:val="center"/>
            <w:hideMark/>
          </w:tcPr>
          <w:p w14:paraId="7039C55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353E4E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(16.43)</w:t>
            </w:r>
          </w:p>
        </w:tc>
        <w:tc>
          <w:tcPr>
            <w:tcW w:w="1414" w:type="pct"/>
            <w:tcBorders>
              <w:top w:val="nil"/>
              <w:left w:val="nil"/>
              <w:bottom w:val="nil"/>
              <w:right w:val="nil"/>
            </w:tcBorders>
            <w:shd w:val="clear" w:color="auto" w:fill="auto"/>
            <w:noWrap/>
            <w:hideMark/>
          </w:tcPr>
          <w:p w14:paraId="748082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9.5183</w:t>
            </w:r>
          </w:p>
        </w:tc>
        <w:tc>
          <w:tcPr>
            <w:tcW w:w="257" w:type="pct"/>
            <w:tcBorders>
              <w:top w:val="nil"/>
              <w:left w:val="nil"/>
              <w:bottom w:val="nil"/>
              <w:right w:val="nil"/>
            </w:tcBorders>
            <w:shd w:val="clear" w:color="auto" w:fill="auto"/>
            <w:noWrap/>
            <w:vAlign w:val="center"/>
            <w:hideMark/>
          </w:tcPr>
          <w:p w14:paraId="012C7DD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2E397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(19.49)</w:t>
            </w:r>
          </w:p>
        </w:tc>
      </w:tr>
      <w:tr w:rsidR="00E712B3" w:rsidRPr="00E712B3" w14:paraId="7DBDAFED" w14:textId="77777777" w:rsidTr="00E712B3">
        <w:trPr>
          <w:trHeight w:val="288"/>
        </w:trPr>
        <w:tc>
          <w:tcPr>
            <w:tcW w:w="848" w:type="pct"/>
            <w:tcBorders>
              <w:top w:val="nil"/>
              <w:left w:val="nil"/>
              <w:bottom w:val="nil"/>
              <w:right w:val="nil"/>
            </w:tcBorders>
            <w:shd w:val="clear" w:color="auto" w:fill="auto"/>
            <w:noWrap/>
            <w:hideMark/>
          </w:tcPr>
          <w:p w14:paraId="5A6256C4"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14" w:type="pct"/>
            <w:tcBorders>
              <w:top w:val="nil"/>
              <w:left w:val="nil"/>
              <w:bottom w:val="nil"/>
              <w:right w:val="nil"/>
            </w:tcBorders>
            <w:shd w:val="clear" w:color="auto" w:fill="auto"/>
            <w:noWrap/>
            <w:hideMark/>
          </w:tcPr>
          <w:p w14:paraId="09A7861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0.0067</w:t>
            </w:r>
          </w:p>
        </w:tc>
        <w:tc>
          <w:tcPr>
            <w:tcW w:w="257" w:type="pct"/>
            <w:tcBorders>
              <w:top w:val="nil"/>
              <w:left w:val="nil"/>
              <w:bottom w:val="nil"/>
              <w:right w:val="nil"/>
            </w:tcBorders>
            <w:shd w:val="clear" w:color="auto" w:fill="auto"/>
            <w:noWrap/>
            <w:vAlign w:val="center"/>
            <w:hideMark/>
          </w:tcPr>
          <w:p w14:paraId="7ACF08B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04" w:type="pct"/>
            <w:tcBorders>
              <w:top w:val="nil"/>
              <w:left w:val="nil"/>
              <w:bottom w:val="nil"/>
              <w:right w:val="nil"/>
            </w:tcBorders>
            <w:shd w:val="clear" w:color="auto" w:fill="auto"/>
            <w:noWrap/>
            <w:hideMark/>
          </w:tcPr>
          <w:p w14:paraId="738DA2A6"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(2.15)</w:t>
            </w:r>
          </w:p>
        </w:tc>
        <w:tc>
          <w:tcPr>
            <w:tcW w:w="1414" w:type="pct"/>
            <w:tcBorders>
              <w:top w:val="nil"/>
              <w:left w:val="nil"/>
              <w:bottom w:val="nil"/>
              <w:right w:val="nil"/>
            </w:tcBorders>
            <w:shd w:val="clear" w:color="auto" w:fill="auto"/>
            <w:noWrap/>
            <w:hideMark/>
          </w:tcPr>
          <w:p w14:paraId="1BA5C29A"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0.0015</w:t>
            </w:r>
          </w:p>
        </w:tc>
        <w:tc>
          <w:tcPr>
            <w:tcW w:w="257" w:type="pct"/>
            <w:tcBorders>
              <w:top w:val="nil"/>
              <w:left w:val="nil"/>
              <w:bottom w:val="nil"/>
              <w:right w:val="nil"/>
            </w:tcBorders>
            <w:shd w:val="clear" w:color="auto" w:fill="auto"/>
            <w:noWrap/>
            <w:vAlign w:val="center"/>
            <w:hideMark/>
          </w:tcPr>
          <w:p w14:paraId="41275102" w14:textId="77777777" w:rsidR="00E712B3" w:rsidRPr="00E712B3" w:rsidRDefault="00E712B3" w:rsidP="00E712B3">
            <w:pPr>
              <w:jc w:val="right"/>
              <w:rPr>
                <w:rFonts w:ascii="Times New Roman" w:eastAsia="Times New Roman" w:hAnsi="Times New Roman" w:cs="Times New Roman"/>
                <w:b/>
                <w:bCs/>
                <w:color w:val="000000"/>
              </w:rPr>
            </w:pPr>
          </w:p>
        </w:tc>
        <w:tc>
          <w:tcPr>
            <w:tcW w:w="404" w:type="pct"/>
            <w:tcBorders>
              <w:top w:val="nil"/>
              <w:left w:val="nil"/>
              <w:bottom w:val="nil"/>
              <w:right w:val="nil"/>
            </w:tcBorders>
            <w:shd w:val="clear" w:color="auto" w:fill="auto"/>
            <w:noWrap/>
            <w:hideMark/>
          </w:tcPr>
          <w:p w14:paraId="1C5B830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(0.46)</w:t>
            </w:r>
          </w:p>
        </w:tc>
      </w:tr>
      <w:tr w:rsidR="00E712B3" w:rsidRPr="00E712B3" w14:paraId="7B996690" w14:textId="77777777" w:rsidTr="00E712B3">
        <w:trPr>
          <w:trHeight w:val="288"/>
        </w:trPr>
        <w:tc>
          <w:tcPr>
            <w:tcW w:w="848" w:type="pct"/>
            <w:tcBorders>
              <w:top w:val="nil"/>
              <w:left w:val="nil"/>
              <w:bottom w:val="nil"/>
              <w:right w:val="nil"/>
            </w:tcBorders>
            <w:shd w:val="clear" w:color="auto" w:fill="auto"/>
            <w:noWrap/>
            <w:hideMark/>
          </w:tcPr>
          <w:p w14:paraId="71130CE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14" w:type="pct"/>
            <w:tcBorders>
              <w:top w:val="nil"/>
              <w:left w:val="nil"/>
              <w:bottom w:val="nil"/>
              <w:right w:val="nil"/>
            </w:tcBorders>
            <w:shd w:val="clear" w:color="auto" w:fill="auto"/>
            <w:noWrap/>
            <w:hideMark/>
          </w:tcPr>
          <w:p w14:paraId="02E228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-0.1979</w:t>
            </w:r>
          </w:p>
        </w:tc>
        <w:tc>
          <w:tcPr>
            <w:tcW w:w="257" w:type="pct"/>
            <w:tcBorders>
              <w:top w:val="nil"/>
              <w:left w:val="nil"/>
              <w:bottom w:val="nil"/>
              <w:right w:val="nil"/>
            </w:tcBorders>
            <w:shd w:val="clear" w:color="auto" w:fill="auto"/>
            <w:noWrap/>
            <w:vAlign w:val="center"/>
            <w:hideMark/>
          </w:tcPr>
          <w:p w14:paraId="393D329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BCB2B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(-3.88)</w:t>
            </w:r>
          </w:p>
        </w:tc>
        <w:tc>
          <w:tcPr>
            <w:tcW w:w="1414" w:type="pct"/>
            <w:tcBorders>
              <w:top w:val="nil"/>
              <w:left w:val="nil"/>
              <w:bottom w:val="nil"/>
              <w:right w:val="nil"/>
            </w:tcBorders>
            <w:shd w:val="clear" w:color="auto" w:fill="auto"/>
            <w:noWrap/>
            <w:hideMark/>
          </w:tcPr>
          <w:p w14:paraId="3C5BE0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-0.2424</w:t>
            </w:r>
          </w:p>
        </w:tc>
        <w:tc>
          <w:tcPr>
            <w:tcW w:w="257" w:type="pct"/>
            <w:tcBorders>
              <w:top w:val="nil"/>
              <w:left w:val="nil"/>
              <w:bottom w:val="nil"/>
              <w:right w:val="nil"/>
            </w:tcBorders>
            <w:shd w:val="clear" w:color="auto" w:fill="auto"/>
            <w:noWrap/>
            <w:vAlign w:val="center"/>
            <w:hideMark/>
          </w:tcPr>
          <w:p w14:paraId="2BB387C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16D5D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(-5.64)</w:t>
            </w:r>
          </w:p>
        </w:tc>
      </w:tr>
      <w:tr w:rsidR="00E712B3" w:rsidRPr="00E712B3" w14:paraId="26F0AFFF" w14:textId="77777777" w:rsidTr="00E712B3">
        <w:trPr>
          <w:trHeight w:val="288"/>
        </w:trPr>
        <w:tc>
          <w:tcPr>
            <w:tcW w:w="848" w:type="pct"/>
            <w:tcBorders>
              <w:top w:val="nil"/>
              <w:left w:val="nil"/>
              <w:bottom w:val="nil"/>
              <w:right w:val="nil"/>
            </w:tcBorders>
            <w:shd w:val="clear" w:color="auto" w:fill="auto"/>
            <w:noWrap/>
            <w:hideMark/>
          </w:tcPr>
          <w:p w14:paraId="4700A46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14" w:type="pct"/>
            <w:tcBorders>
              <w:top w:val="nil"/>
              <w:left w:val="nil"/>
              <w:bottom w:val="nil"/>
              <w:right w:val="nil"/>
            </w:tcBorders>
            <w:shd w:val="clear" w:color="auto" w:fill="auto"/>
            <w:noWrap/>
            <w:hideMark/>
          </w:tcPr>
          <w:p w14:paraId="7EAF506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0.0033</w:t>
            </w:r>
          </w:p>
        </w:tc>
        <w:tc>
          <w:tcPr>
            <w:tcW w:w="257" w:type="pct"/>
            <w:tcBorders>
              <w:top w:val="nil"/>
              <w:left w:val="nil"/>
              <w:bottom w:val="nil"/>
              <w:right w:val="nil"/>
            </w:tcBorders>
            <w:shd w:val="clear" w:color="auto" w:fill="auto"/>
            <w:noWrap/>
            <w:vAlign w:val="center"/>
            <w:hideMark/>
          </w:tcPr>
          <w:p w14:paraId="26ABF1C8"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2D675D6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(1.62)</w:t>
            </w:r>
          </w:p>
        </w:tc>
        <w:tc>
          <w:tcPr>
            <w:tcW w:w="1414" w:type="pct"/>
            <w:tcBorders>
              <w:top w:val="nil"/>
              <w:left w:val="nil"/>
              <w:bottom w:val="nil"/>
              <w:right w:val="nil"/>
            </w:tcBorders>
            <w:shd w:val="clear" w:color="auto" w:fill="auto"/>
            <w:noWrap/>
            <w:hideMark/>
          </w:tcPr>
          <w:p w14:paraId="7176E0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257" w:type="pct"/>
            <w:tcBorders>
              <w:top w:val="nil"/>
              <w:left w:val="nil"/>
              <w:bottom w:val="nil"/>
              <w:right w:val="nil"/>
            </w:tcBorders>
            <w:shd w:val="clear" w:color="auto" w:fill="auto"/>
            <w:noWrap/>
            <w:vAlign w:val="center"/>
            <w:hideMark/>
          </w:tcPr>
          <w:p w14:paraId="788CB5A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9218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222B7B" w14:textId="77777777" w:rsidTr="00E712B3">
        <w:trPr>
          <w:trHeight w:val="288"/>
        </w:trPr>
        <w:tc>
          <w:tcPr>
            <w:tcW w:w="848" w:type="pct"/>
            <w:tcBorders>
              <w:top w:val="nil"/>
              <w:left w:val="nil"/>
              <w:bottom w:val="nil"/>
              <w:right w:val="nil"/>
            </w:tcBorders>
            <w:shd w:val="clear" w:color="auto" w:fill="auto"/>
            <w:noWrap/>
            <w:hideMark/>
          </w:tcPr>
          <w:p w14:paraId="7A9C99F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14" w:type="pct"/>
            <w:tcBorders>
              <w:top w:val="nil"/>
              <w:left w:val="nil"/>
              <w:bottom w:val="nil"/>
              <w:right w:val="nil"/>
            </w:tcBorders>
            <w:shd w:val="clear" w:color="auto" w:fill="auto"/>
            <w:noWrap/>
            <w:hideMark/>
          </w:tcPr>
          <w:p w14:paraId="64CB416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-1.2678</w:t>
            </w:r>
          </w:p>
        </w:tc>
        <w:tc>
          <w:tcPr>
            <w:tcW w:w="257" w:type="pct"/>
            <w:tcBorders>
              <w:top w:val="nil"/>
              <w:left w:val="nil"/>
              <w:bottom w:val="nil"/>
              <w:right w:val="nil"/>
            </w:tcBorders>
            <w:shd w:val="clear" w:color="auto" w:fill="auto"/>
            <w:noWrap/>
            <w:vAlign w:val="center"/>
            <w:hideMark/>
          </w:tcPr>
          <w:p w14:paraId="64997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6DA8D3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14" w:type="pct"/>
            <w:tcBorders>
              <w:top w:val="nil"/>
              <w:left w:val="nil"/>
              <w:bottom w:val="nil"/>
              <w:right w:val="nil"/>
            </w:tcBorders>
            <w:shd w:val="clear" w:color="auto" w:fill="auto"/>
            <w:noWrap/>
            <w:hideMark/>
          </w:tcPr>
          <w:p w14:paraId="00B76D5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1.1894</w:t>
            </w:r>
          </w:p>
        </w:tc>
        <w:tc>
          <w:tcPr>
            <w:tcW w:w="257" w:type="pct"/>
            <w:tcBorders>
              <w:top w:val="nil"/>
              <w:left w:val="nil"/>
              <w:bottom w:val="nil"/>
              <w:right w:val="nil"/>
            </w:tcBorders>
            <w:shd w:val="clear" w:color="auto" w:fill="auto"/>
            <w:noWrap/>
            <w:vAlign w:val="center"/>
            <w:hideMark/>
          </w:tcPr>
          <w:p w14:paraId="17EA04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7AC82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(3.54)</w:t>
            </w:r>
          </w:p>
        </w:tc>
      </w:tr>
      <w:tr w:rsidR="00E712B3" w:rsidRPr="00E712B3" w14:paraId="72EF2936" w14:textId="77777777" w:rsidTr="00E712B3">
        <w:trPr>
          <w:trHeight w:val="288"/>
        </w:trPr>
        <w:tc>
          <w:tcPr>
            <w:tcW w:w="848" w:type="pct"/>
            <w:tcBorders>
              <w:top w:val="nil"/>
              <w:left w:val="nil"/>
              <w:bottom w:val="nil"/>
              <w:right w:val="nil"/>
            </w:tcBorders>
            <w:shd w:val="clear" w:color="auto" w:fill="auto"/>
            <w:noWrap/>
            <w:hideMark/>
          </w:tcPr>
          <w:p w14:paraId="39EAD05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14" w:type="pct"/>
            <w:tcBorders>
              <w:top w:val="nil"/>
              <w:left w:val="nil"/>
              <w:bottom w:val="nil"/>
              <w:right w:val="nil"/>
            </w:tcBorders>
            <w:shd w:val="clear" w:color="auto" w:fill="auto"/>
            <w:noWrap/>
            <w:hideMark/>
          </w:tcPr>
          <w:p w14:paraId="0047296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-0.0951</w:t>
            </w:r>
          </w:p>
        </w:tc>
        <w:tc>
          <w:tcPr>
            <w:tcW w:w="257" w:type="pct"/>
            <w:tcBorders>
              <w:top w:val="nil"/>
              <w:left w:val="nil"/>
              <w:bottom w:val="nil"/>
              <w:right w:val="nil"/>
            </w:tcBorders>
            <w:shd w:val="clear" w:color="auto" w:fill="auto"/>
            <w:noWrap/>
            <w:vAlign w:val="center"/>
            <w:hideMark/>
          </w:tcPr>
          <w:p w14:paraId="450B4C4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5D79F1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(-0.76)</w:t>
            </w:r>
          </w:p>
        </w:tc>
        <w:tc>
          <w:tcPr>
            <w:tcW w:w="1414" w:type="pct"/>
            <w:tcBorders>
              <w:top w:val="nil"/>
              <w:left w:val="nil"/>
              <w:bottom w:val="nil"/>
              <w:right w:val="nil"/>
            </w:tcBorders>
            <w:shd w:val="clear" w:color="auto" w:fill="auto"/>
            <w:noWrap/>
            <w:hideMark/>
          </w:tcPr>
          <w:p w14:paraId="2A3A20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-0.0381</w:t>
            </w:r>
          </w:p>
        </w:tc>
        <w:tc>
          <w:tcPr>
            <w:tcW w:w="257" w:type="pct"/>
            <w:tcBorders>
              <w:top w:val="nil"/>
              <w:left w:val="nil"/>
              <w:bottom w:val="nil"/>
              <w:right w:val="nil"/>
            </w:tcBorders>
            <w:shd w:val="clear" w:color="auto" w:fill="auto"/>
            <w:noWrap/>
            <w:vAlign w:val="center"/>
            <w:hideMark/>
          </w:tcPr>
          <w:p w14:paraId="130AB685"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D08BA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w:t>
            </w:r>
          </w:p>
        </w:tc>
      </w:tr>
      <w:tr w:rsidR="00E712B3" w:rsidRPr="00E712B3" w14:paraId="4E3C42E7" w14:textId="77777777" w:rsidTr="00E712B3">
        <w:trPr>
          <w:trHeight w:val="288"/>
        </w:trPr>
        <w:tc>
          <w:tcPr>
            <w:tcW w:w="848" w:type="pct"/>
            <w:tcBorders>
              <w:top w:val="nil"/>
              <w:left w:val="nil"/>
              <w:bottom w:val="nil"/>
              <w:right w:val="nil"/>
            </w:tcBorders>
            <w:shd w:val="clear" w:color="auto" w:fill="auto"/>
            <w:noWrap/>
            <w:hideMark/>
          </w:tcPr>
          <w:p w14:paraId="5C0CE1B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14" w:type="pct"/>
            <w:tcBorders>
              <w:top w:val="nil"/>
              <w:left w:val="nil"/>
              <w:bottom w:val="nil"/>
              <w:right w:val="nil"/>
            </w:tcBorders>
            <w:shd w:val="clear" w:color="auto" w:fill="auto"/>
            <w:noWrap/>
            <w:hideMark/>
          </w:tcPr>
          <w:p w14:paraId="753B44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-1.7562</w:t>
            </w:r>
          </w:p>
        </w:tc>
        <w:tc>
          <w:tcPr>
            <w:tcW w:w="257" w:type="pct"/>
            <w:tcBorders>
              <w:top w:val="nil"/>
              <w:left w:val="nil"/>
              <w:bottom w:val="nil"/>
              <w:right w:val="nil"/>
            </w:tcBorders>
            <w:shd w:val="clear" w:color="auto" w:fill="auto"/>
            <w:noWrap/>
            <w:vAlign w:val="center"/>
            <w:hideMark/>
          </w:tcPr>
          <w:p w14:paraId="7DCD3B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5653C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(-0.78)</w:t>
            </w:r>
          </w:p>
        </w:tc>
        <w:tc>
          <w:tcPr>
            <w:tcW w:w="1414" w:type="pct"/>
            <w:tcBorders>
              <w:top w:val="nil"/>
              <w:left w:val="nil"/>
              <w:bottom w:val="nil"/>
              <w:right w:val="nil"/>
            </w:tcBorders>
            <w:shd w:val="clear" w:color="auto" w:fill="auto"/>
            <w:noWrap/>
            <w:hideMark/>
          </w:tcPr>
          <w:p w14:paraId="57C2F8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3.6874</w:t>
            </w:r>
          </w:p>
        </w:tc>
        <w:tc>
          <w:tcPr>
            <w:tcW w:w="257" w:type="pct"/>
            <w:tcBorders>
              <w:top w:val="nil"/>
              <w:left w:val="nil"/>
              <w:bottom w:val="nil"/>
              <w:right w:val="nil"/>
            </w:tcBorders>
            <w:shd w:val="clear" w:color="auto" w:fill="auto"/>
            <w:noWrap/>
            <w:vAlign w:val="center"/>
            <w:hideMark/>
          </w:tcPr>
          <w:p w14:paraId="6DD1568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2F14D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55093C87" w14:textId="77777777" w:rsidTr="00E712B3">
        <w:trPr>
          <w:trHeight w:val="288"/>
        </w:trPr>
        <w:tc>
          <w:tcPr>
            <w:tcW w:w="848" w:type="pct"/>
            <w:tcBorders>
              <w:top w:val="nil"/>
              <w:left w:val="nil"/>
              <w:bottom w:val="nil"/>
              <w:right w:val="nil"/>
            </w:tcBorders>
            <w:shd w:val="clear" w:color="auto" w:fill="auto"/>
            <w:noWrap/>
            <w:hideMark/>
          </w:tcPr>
          <w:p w14:paraId="78DF65D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14" w:type="pct"/>
            <w:tcBorders>
              <w:top w:val="nil"/>
              <w:left w:val="nil"/>
              <w:bottom w:val="nil"/>
              <w:right w:val="nil"/>
            </w:tcBorders>
            <w:shd w:val="clear" w:color="auto" w:fill="auto"/>
            <w:noWrap/>
            <w:hideMark/>
          </w:tcPr>
          <w:p w14:paraId="2D52E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0.0233</w:t>
            </w:r>
          </w:p>
        </w:tc>
        <w:tc>
          <w:tcPr>
            <w:tcW w:w="257" w:type="pct"/>
            <w:tcBorders>
              <w:top w:val="nil"/>
              <w:left w:val="nil"/>
              <w:bottom w:val="nil"/>
              <w:right w:val="nil"/>
            </w:tcBorders>
            <w:shd w:val="clear" w:color="auto" w:fill="auto"/>
            <w:noWrap/>
            <w:vAlign w:val="center"/>
            <w:hideMark/>
          </w:tcPr>
          <w:p w14:paraId="604353A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1ED14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(4.97)</w:t>
            </w:r>
          </w:p>
        </w:tc>
        <w:tc>
          <w:tcPr>
            <w:tcW w:w="1414" w:type="pct"/>
            <w:tcBorders>
              <w:top w:val="nil"/>
              <w:left w:val="nil"/>
              <w:bottom w:val="nil"/>
              <w:right w:val="nil"/>
            </w:tcBorders>
            <w:shd w:val="clear" w:color="auto" w:fill="auto"/>
            <w:noWrap/>
            <w:hideMark/>
          </w:tcPr>
          <w:p w14:paraId="4F25E2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-0.0207</w:t>
            </w:r>
          </w:p>
        </w:tc>
        <w:tc>
          <w:tcPr>
            <w:tcW w:w="257" w:type="pct"/>
            <w:tcBorders>
              <w:top w:val="nil"/>
              <w:left w:val="nil"/>
              <w:bottom w:val="nil"/>
              <w:right w:val="nil"/>
            </w:tcBorders>
            <w:shd w:val="clear" w:color="auto" w:fill="auto"/>
            <w:noWrap/>
            <w:vAlign w:val="center"/>
            <w:hideMark/>
          </w:tcPr>
          <w:p w14:paraId="7B677FA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C9A43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(-4.57)</w:t>
            </w:r>
          </w:p>
        </w:tc>
      </w:tr>
      <w:tr w:rsidR="00E712B3" w:rsidRPr="00E712B3" w14:paraId="62EFBFE1" w14:textId="77777777" w:rsidTr="00E712B3">
        <w:trPr>
          <w:trHeight w:val="288"/>
        </w:trPr>
        <w:tc>
          <w:tcPr>
            <w:tcW w:w="848" w:type="pct"/>
            <w:tcBorders>
              <w:top w:val="nil"/>
              <w:left w:val="nil"/>
              <w:bottom w:val="nil"/>
              <w:right w:val="nil"/>
            </w:tcBorders>
            <w:shd w:val="clear" w:color="auto" w:fill="auto"/>
            <w:noWrap/>
            <w:hideMark/>
          </w:tcPr>
          <w:p w14:paraId="5E63E59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14" w:type="pct"/>
            <w:tcBorders>
              <w:top w:val="nil"/>
              <w:left w:val="nil"/>
              <w:bottom w:val="nil"/>
              <w:right w:val="nil"/>
            </w:tcBorders>
            <w:shd w:val="clear" w:color="auto" w:fill="auto"/>
            <w:noWrap/>
            <w:hideMark/>
          </w:tcPr>
          <w:p w14:paraId="396C27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0.5780</w:t>
            </w:r>
          </w:p>
        </w:tc>
        <w:tc>
          <w:tcPr>
            <w:tcW w:w="257" w:type="pct"/>
            <w:tcBorders>
              <w:top w:val="nil"/>
              <w:left w:val="nil"/>
              <w:bottom w:val="nil"/>
              <w:right w:val="nil"/>
            </w:tcBorders>
            <w:shd w:val="clear" w:color="auto" w:fill="auto"/>
            <w:noWrap/>
            <w:vAlign w:val="center"/>
            <w:hideMark/>
          </w:tcPr>
          <w:p w14:paraId="0539076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7DEECC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c>
          <w:tcPr>
            <w:tcW w:w="1414" w:type="pct"/>
            <w:tcBorders>
              <w:top w:val="nil"/>
              <w:left w:val="nil"/>
              <w:bottom w:val="nil"/>
              <w:right w:val="nil"/>
            </w:tcBorders>
            <w:shd w:val="clear" w:color="auto" w:fill="auto"/>
            <w:noWrap/>
            <w:hideMark/>
          </w:tcPr>
          <w:p w14:paraId="3E2ED57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-0.5307</w:t>
            </w:r>
          </w:p>
        </w:tc>
        <w:tc>
          <w:tcPr>
            <w:tcW w:w="257" w:type="pct"/>
            <w:tcBorders>
              <w:top w:val="nil"/>
              <w:left w:val="nil"/>
              <w:bottom w:val="nil"/>
              <w:right w:val="nil"/>
            </w:tcBorders>
            <w:shd w:val="clear" w:color="auto" w:fill="auto"/>
            <w:noWrap/>
            <w:vAlign w:val="center"/>
            <w:hideMark/>
          </w:tcPr>
          <w:p w14:paraId="25BF957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1D6A7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(-2.70)</w:t>
            </w:r>
          </w:p>
        </w:tc>
      </w:tr>
      <w:tr w:rsidR="00E712B3" w:rsidRPr="00E712B3" w14:paraId="0C390A0C" w14:textId="77777777" w:rsidTr="00E712B3">
        <w:trPr>
          <w:trHeight w:val="288"/>
        </w:trPr>
        <w:tc>
          <w:tcPr>
            <w:tcW w:w="848" w:type="pct"/>
            <w:tcBorders>
              <w:top w:val="nil"/>
              <w:left w:val="nil"/>
              <w:bottom w:val="nil"/>
              <w:right w:val="nil"/>
            </w:tcBorders>
            <w:shd w:val="clear" w:color="auto" w:fill="auto"/>
            <w:noWrap/>
            <w:hideMark/>
          </w:tcPr>
          <w:p w14:paraId="22A110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14" w:type="pct"/>
            <w:tcBorders>
              <w:top w:val="nil"/>
              <w:left w:val="nil"/>
              <w:bottom w:val="nil"/>
              <w:right w:val="nil"/>
            </w:tcBorders>
            <w:shd w:val="clear" w:color="auto" w:fill="auto"/>
            <w:noWrap/>
            <w:hideMark/>
          </w:tcPr>
          <w:p w14:paraId="17F853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0.0525</w:t>
            </w:r>
          </w:p>
        </w:tc>
        <w:tc>
          <w:tcPr>
            <w:tcW w:w="257" w:type="pct"/>
            <w:tcBorders>
              <w:top w:val="nil"/>
              <w:left w:val="nil"/>
              <w:bottom w:val="nil"/>
              <w:right w:val="nil"/>
            </w:tcBorders>
            <w:shd w:val="clear" w:color="auto" w:fill="auto"/>
            <w:noWrap/>
            <w:vAlign w:val="center"/>
            <w:hideMark/>
          </w:tcPr>
          <w:p w14:paraId="2CB07AB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09613D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w:t>
            </w:r>
          </w:p>
        </w:tc>
        <w:tc>
          <w:tcPr>
            <w:tcW w:w="1414" w:type="pct"/>
            <w:tcBorders>
              <w:top w:val="nil"/>
              <w:left w:val="nil"/>
              <w:bottom w:val="nil"/>
              <w:right w:val="nil"/>
            </w:tcBorders>
            <w:shd w:val="clear" w:color="auto" w:fill="auto"/>
            <w:noWrap/>
            <w:hideMark/>
          </w:tcPr>
          <w:p w14:paraId="7279F6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-0.6546</w:t>
            </w:r>
          </w:p>
        </w:tc>
        <w:tc>
          <w:tcPr>
            <w:tcW w:w="257" w:type="pct"/>
            <w:tcBorders>
              <w:top w:val="nil"/>
              <w:left w:val="nil"/>
              <w:bottom w:val="nil"/>
              <w:right w:val="nil"/>
            </w:tcBorders>
            <w:shd w:val="clear" w:color="auto" w:fill="auto"/>
            <w:noWrap/>
            <w:vAlign w:val="center"/>
            <w:hideMark/>
          </w:tcPr>
          <w:p w14:paraId="4BF9827F"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E1023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(-0.39)</w:t>
            </w:r>
          </w:p>
        </w:tc>
      </w:tr>
      <w:tr w:rsidR="00E712B3" w:rsidRPr="00E712B3" w14:paraId="6A03C578" w14:textId="77777777" w:rsidTr="00E712B3">
        <w:trPr>
          <w:trHeight w:val="288"/>
        </w:trPr>
        <w:tc>
          <w:tcPr>
            <w:tcW w:w="848" w:type="pct"/>
            <w:tcBorders>
              <w:top w:val="nil"/>
              <w:left w:val="nil"/>
              <w:bottom w:val="nil"/>
              <w:right w:val="nil"/>
            </w:tcBorders>
            <w:shd w:val="clear" w:color="auto" w:fill="auto"/>
            <w:noWrap/>
            <w:hideMark/>
          </w:tcPr>
          <w:p w14:paraId="03431AC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14" w:type="pct"/>
            <w:tcBorders>
              <w:top w:val="nil"/>
              <w:left w:val="nil"/>
              <w:bottom w:val="nil"/>
              <w:right w:val="nil"/>
            </w:tcBorders>
            <w:shd w:val="clear" w:color="auto" w:fill="auto"/>
            <w:noWrap/>
            <w:hideMark/>
          </w:tcPr>
          <w:p w14:paraId="4067AC9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-6.6232</w:t>
            </w:r>
          </w:p>
        </w:tc>
        <w:tc>
          <w:tcPr>
            <w:tcW w:w="257" w:type="pct"/>
            <w:tcBorders>
              <w:top w:val="nil"/>
              <w:left w:val="nil"/>
              <w:bottom w:val="nil"/>
              <w:right w:val="nil"/>
            </w:tcBorders>
            <w:shd w:val="clear" w:color="auto" w:fill="auto"/>
            <w:noWrap/>
            <w:vAlign w:val="center"/>
            <w:hideMark/>
          </w:tcPr>
          <w:p w14:paraId="64543A2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E48B8B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(-2.28)</w:t>
            </w:r>
          </w:p>
        </w:tc>
        <w:tc>
          <w:tcPr>
            <w:tcW w:w="1414" w:type="pct"/>
            <w:tcBorders>
              <w:top w:val="nil"/>
              <w:left w:val="nil"/>
              <w:bottom w:val="nil"/>
              <w:right w:val="nil"/>
            </w:tcBorders>
            <w:shd w:val="clear" w:color="auto" w:fill="auto"/>
            <w:noWrap/>
            <w:hideMark/>
          </w:tcPr>
          <w:p w14:paraId="16E36C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0.5114</w:t>
            </w:r>
          </w:p>
        </w:tc>
        <w:tc>
          <w:tcPr>
            <w:tcW w:w="257" w:type="pct"/>
            <w:tcBorders>
              <w:top w:val="nil"/>
              <w:left w:val="nil"/>
              <w:bottom w:val="nil"/>
              <w:right w:val="nil"/>
            </w:tcBorders>
            <w:shd w:val="clear" w:color="auto" w:fill="auto"/>
            <w:noWrap/>
            <w:vAlign w:val="center"/>
            <w:hideMark/>
          </w:tcPr>
          <w:p w14:paraId="2DB3DB5A"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67F2D5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(0.18)</w:t>
            </w:r>
          </w:p>
        </w:tc>
      </w:tr>
      <w:tr w:rsidR="00E712B3" w:rsidRPr="00E712B3" w14:paraId="6632D135" w14:textId="77777777" w:rsidTr="00E712B3">
        <w:trPr>
          <w:trHeight w:val="288"/>
        </w:trPr>
        <w:tc>
          <w:tcPr>
            <w:tcW w:w="848" w:type="pct"/>
            <w:tcBorders>
              <w:top w:val="nil"/>
              <w:left w:val="nil"/>
              <w:bottom w:val="nil"/>
              <w:right w:val="nil"/>
            </w:tcBorders>
            <w:shd w:val="clear" w:color="auto" w:fill="auto"/>
            <w:noWrap/>
            <w:hideMark/>
          </w:tcPr>
          <w:p w14:paraId="2DBB774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14" w:type="pct"/>
            <w:tcBorders>
              <w:top w:val="nil"/>
              <w:left w:val="nil"/>
              <w:bottom w:val="nil"/>
              <w:right w:val="nil"/>
            </w:tcBorders>
            <w:shd w:val="clear" w:color="auto" w:fill="auto"/>
            <w:noWrap/>
            <w:hideMark/>
          </w:tcPr>
          <w:p w14:paraId="0BDC44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-1.1928</w:t>
            </w:r>
          </w:p>
        </w:tc>
        <w:tc>
          <w:tcPr>
            <w:tcW w:w="257" w:type="pct"/>
            <w:tcBorders>
              <w:top w:val="nil"/>
              <w:left w:val="nil"/>
              <w:bottom w:val="nil"/>
              <w:right w:val="nil"/>
            </w:tcBorders>
            <w:shd w:val="clear" w:color="auto" w:fill="auto"/>
            <w:noWrap/>
            <w:vAlign w:val="center"/>
            <w:hideMark/>
          </w:tcPr>
          <w:p w14:paraId="1C4BFE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A6C71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(-1.69)</w:t>
            </w:r>
          </w:p>
        </w:tc>
        <w:tc>
          <w:tcPr>
            <w:tcW w:w="1414" w:type="pct"/>
            <w:tcBorders>
              <w:top w:val="nil"/>
              <w:left w:val="nil"/>
              <w:bottom w:val="nil"/>
              <w:right w:val="nil"/>
            </w:tcBorders>
            <w:shd w:val="clear" w:color="auto" w:fill="auto"/>
            <w:noWrap/>
            <w:hideMark/>
          </w:tcPr>
          <w:p w14:paraId="1D46E25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-0.1797</w:t>
            </w:r>
          </w:p>
        </w:tc>
        <w:tc>
          <w:tcPr>
            <w:tcW w:w="257" w:type="pct"/>
            <w:tcBorders>
              <w:top w:val="nil"/>
              <w:left w:val="nil"/>
              <w:bottom w:val="nil"/>
              <w:right w:val="nil"/>
            </w:tcBorders>
            <w:shd w:val="clear" w:color="auto" w:fill="auto"/>
            <w:noWrap/>
            <w:vAlign w:val="center"/>
            <w:hideMark/>
          </w:tcPr>
          <w:p w14:paraId="43661BB7"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F421BD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r>
      <w:tr w:rsidR="00E712B3" w:rsidRPr="00E712B3" w14:paraId="27C3EB14" w14:textId="77777777" w:rsidTr="00E712B3">
        <w:trPr>
          <w:trHeight w:val="288"/>
        </w:trPr>
        <w:tc>
          <w:tcPr>
            <w:tcW w:w="848" w:type="pct"/>
            <w:tcBorders>
              <w:top w:val="nil"/>
              <w:left w:val="nil"/>
              <w:bottom w:val="nil"/>
              <w:right w:val="nil"/>
            </w:tcBorders>
            <w:shd w:val="clear" w:color="auto" w:fill="auto"/>
            <w:noWrap/>
            <w:hideMark/>
          </w:tcPr>
          <w:p w14:paraId="4690D0B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14" w:type="pct"/>
            <w:tcBorders>
              <w:top w:val="nil"/>
              <w:left w:val="nil"/>
              <w:bottom w:val="nil"/>
              <w:right w:val="nil"/>
            </w:tcBorders>
            <w:shd w:val="clear" w:color="auto" w:fill="auto"/>
            <w:noWrap/>
            <w:hideMark/>
          </w:tcPr>
          <w:p w14:paraId="3CA4F7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-0.3619</w:t>
            </w:r>
          </w:p>
        </w:tc>
        <w:tc>
          <w:tcPr>
            <w:tcW w:w="257" w:type="pct"/>
            <w:tcBorders>
              <w:top w:val="nil"/>
              <w:left w:val="nil"/>
              <w:bottom w:val="nil"/>
              <w:right w:val="nil"/>
            </w:tcBorders>
            <w:shd w:val="clear" w:color="auto" w:fill="auto"/>
            <w:noWrap/>
            <w:vAlign w:val="center"/>
            <w:hideMark/>
          </w:tcPr>
          <w:p w14:paraId="1FC4E5B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5FAEA6C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(-2.99)</w:t>
            </w:r>
          </w:p>
        </w:tc>
        <w:tc>
          <w:tcPr>
            <w:tcW w:w="1414" w:type="pct"/>
            <w:tcBorders>
              <w:top w:val="nil"/>
              <w:left w:val="nil"/>
              <w:bottom w:val="nil"/>
              <w:right w:val="nil"/>
            </w:tcBorders>
            <w:shd w:val="clear" w:color="auto" w:fill="auto"/>
            <w:noWrap/>
            <w:hideMark/>
          </w:tcPr>
          <w:p w14:paraId="4A410A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0.1484</w:t>
            </w:r>
          </w:p>
        </w:tc>
        <w:tc>
          <w:tcPr>
            <w:tcW w:w="257" w:type="pct"/>
            <w:tcBorders>
              <w:top w:val="nil"/>
              <w:left w:val="nil"/>
              <w:bottom w:val="nil"/>
              <w:right w:val="nil"/>
            </w:tcBorders>
            <w:shd w:val="clear" w:color="auto" w:fill="auto"/>
            <w:noWrap/>
            <w:vAlign w:val="center"/>
            <w:hideMark/>
          </w:tcPr>
          <w:p w14:paraId="3C43FF71"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7AB756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(1.29)</w:t>
            </w:r>
          </w:p>
        </w:tc>
      </w:tr>
      <w:tr w:rsidR="00E712B3" w:rsidRPr="00E712B3" w14:paraId="2DF9821F" w14:textId="77777777" w:rsidTr="00E712B3">
        <w:trPr>
          <w:trHeight w:val="288"/>
        </w:trPr>
        <w:tc>
          <w:tcPr>
            <w:tcW w:w="848" w:type="pct"/>
            <w:tcBorders>
              <w:top w:val="nil"/>
              <w:left w:val="nil"/>
              <w:bottom w:val="single" w:sz="4" w:space="0" w:color="auto"/>
              <w:right w:val="nil"/>
            </w:tcBorders>
            <w:shd w:val="clear" w:color="auto" w:fill="auto"/>
            <w:noWrap/>
            <w:vAlign w:val="center"/>
            <w:hideMark/>
          </w:tcPr>
          <w:p w14:paraId="221E1F01"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14" w:type="pct"/>
            <w:tcBorders>
              <w:top w:val="nil"/>
              <w:left w:val="nil"/>
              <w:bottom w:val="single" w:sz="4" w:space="0" w:color="auto"/>
              <w:right w:val="nil"/>
            </w:tcBorders>
            <w:shd w:val="clear" w:color="auto" w:fill="auto"/>
            <w:noWrap/>
            <w:hideMark/>
          </w:tcPr>
          <w:p w14:paraId="789840C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-0.1345</w:t>
            </w:r>
          </w:p>
        </w:tc>
        <w:tc>
          <w:tcPr>
            <w:tcW w:w="257" w:type="pct"/>
            <w:tcBorders>
              <w:top w:val="nil"/>
              <w:left w:val="nil"/>
              <w:bottom w:val="single" w:sz="4" w:space="0" w:color="auto"/>
              <w:right w:val="nil"/>
            </w:tcBorders>
            <w:shd w:val="clear" w:color="auto" w:fill="auto"/>
            <w:noWrap/>
            <w:vAlign w:val="center"/>
            <w:hideMark/>
          </w:tcPr>
          <w:p w14:paraId="03FAF7B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4" w:space="0" w:color="auto"/>
              <w:right w:val="nil"/>
            </w:tcBorders>
            <w:shd w:val="clear" w:color="auto" w:fill="auto"/>
            <w:noWrap/>
            <w:hideMark/>
          </w:tcPr>
          <w:p w14:paraId="4DFD785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(-1.01)</w:t>
            </w:r>
          </w:p>
        </w:tc>
        <w:tc>
          <w:tcPr>
            <w:tcW w:w="1414" w:type="pct"/>
            <w:tcBorders>
              <w:top w:val="nil"/>
              <w:left w:val="nil"/>
              <w:bottom w:val="single" w:sz="4" w:space="0" w:color="auto"/>
              <w:right w:val="nil"/>
            </w:tcBorders>
            <w:shd w:val="clear" w:color="auto" w:fill="auto"/>
            <w:noWrap/>
            <w:hideMark/>
          </w:tcPr>
          <w:p w14:paraId="0FFEE4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-0.2436</w:t>
            </w:r>
          </w:p>
        </w:tc>
        <w:tc>
          <w:tcPr>
            <w:tcW w:w="257" w:type="pct"/>
            <w:tcBorders>
              <w:top w:val="nil"/>
              <w:left w:val="nil"/>
              <w:bottom w:val="single" w:sz="4" w:space="0" w:color="auto"/>
              <w:right w:val="nil"/>
            </w:tcBorders>
            <w:shd w:val="clear" w:color="auto" w:fill="auto"/>
            <w:noWrap/>
            <w:vAlign w:val="center"/>
            <w:hideMark/>
          </w:tcPr>
          <w:p w14:paraId="409F00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single" w:sz="4" w:space="0" w:color="auto"/>
              <w:right w:val="nil"/>
            </w:tcBorders>
            <w:shd w:val="clear" w:color="auto" w:fill="auto"/>
            <w:noWrap/>
            <w:hideMark/>
          </w:tcPr>
          <w:p w14:paraId="2ED49F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(-1.79)</w:t>
            </w:r>
          </w:p>
        </w:tc>
      </w:tr>
      <w:tr w:rsidR="00E712B3" w:rsidRPr="00E712B3" w14:paraId="7506FE80" w14:textId="77777777" w:rsidTr="00E712B3">
        <w:trPr>
          <w:trHeight w:val="288"/>
        </w:trPr>
        <w:tc>
          <w:tcPr>
            <w:tcW w:w="848" w:type="pct"/>
            <w:tcBorders>
              <w:top w:val="nil"/>
              <w:left w:val="nil"/>
              <w:bottom w:val="nil"/>
              <w:right w:val="nil"/>
            </w:tcBorders>
            <w:shd w:val="clear" w:color="auto" w:fill="auto"/>
            <w:noWrap/>
            <w:hideMark/>
          </w:tcPr>
          <w:p w14:paraId="5801A4F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14" w:type="pct"/>
            <w:tcBorders>
              <w:top w:val="nil"/>
              <w:left w:val="nil"/>
              <w:bottom w:val="nil"/>
              <w:right w:val="nil"/>
            </w:tcBorders>
            <w:shd w:val="clear" w:color="auto" w:fill="auto"/>
            <w:noWrap/>
            <w:hideMark/>
          </w:tcPr>
          <w:p w14:paraId="5221AE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3FCFB2"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380FE291"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47394B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1DFC1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265DBC21"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DA83916" w14:textId="77777777" w:rsidTr="00E712B3">
        <w:trPr>
          <w:trHeight w:val="330"/>
        </w:trPr>
        <w:tc>
          <w:tcPr>
            <w:tcW w:w="848" w:type="pct"/>
            <w:tcBorders>
              <w:top w:val="nil"/>
              <w:left w:val="nil"/>
              <w:bottom w:val="nil"/>
              <w:right w:val="nil"/>
            </w:tcBorders>
            <w:shd w:val="clear" w:color="auto" w:fill="auto"/>
            <w:noWrap/>
            <w:vAlign w:val="center"/>
            <w:hideMark/>
          </w:tcPr>
          <w:p w14:paraId="285E5D6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14" w:type="pct"/>
            <w:tcBorders>
              <w:top w:val="nil"/>
              <w:left w:val="nil"/>
              <w:bottom w:val="nil"/>
              <w:right w:val="nil"/>
            </w:tcBorders>
            <w:shd w:val="clear" w:color="auto" w:fill="auto"/>
            <w:noWrap/>
            <w:hideMark/>
          </w:tcPr>
          <w:p w14:paraId="4731F74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2.561%</w:t>
            </w:r>
          </w:p>
        </w:tc>
        <w:tc>
          <w:tcPr>
            <w:tcW w:w="257" w:type="pct"/>
            <w:tcBorders>
              <w:top w:val="nil"/>
              <w:left w:val="nil"/>
              <w:bottom w:val="nil"/>
              <w:right w:val="nil"/>
            </w:tcBorders>
            <w:shd w:val="clear" w:color="auto" w:fill="auto"/>
            <w:noWrap/>
            <w:vAlign w:val="bottom"/>
            <w:hideMark/>
          </w:tcPr>
          <w:p w14:paraId="62E86E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09D8B40F"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9805DE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5.804%</w:t>
            </w:r>
          </w:p>
        </w:tc>
        <w:tc>
          <w:tcPr>
            <w:tcW w:w="257" w:type="pct"/>
            <w:tcBorders>
              <w:top w:val="nil"/>
              <w:left w:val="nil"/>
              <w:bottom w:val="nil"/>
              <w:right w:val="nil"/>
            </w:tcBorders>
            <w:shd w:val="clear" w:color="auto" w:fill="auto"/>
            <w:noWrap/>
            <w:vAlign w:val="bottom"/>
            <w:hideMark/>
          </w:tcPr>
          <w:p w14:paraId="2C9EE7BE"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672D3DC9"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CE6AF33" w14:textId="77777777" w:rsidTr="00E712B3">
        <w:trPr>
          <w:trHeight w:val="294"/>
        </w:trPr>
        <w:tc>
          <w:tcPr>
            <w:tcW w:w="848" w:type="pct"/>
            <w:tcBorders>
              <w:top w:val="nil"/>
              <w:left w:val="nil"/>
              <w:bottom w:val="single" w:sz="8" w:space="0" w:color="auto"/>
              <w:right w:val="nil"/>
            </w:tcBorders>
            <w:shd w:val="clear" w:color="auto" w:fill="auto"/>
            <w:noWrap/>
            <w:vAlign w:val="center"/>
            <w:hideMark/>
          </w:tcPr>
          <w:p w14:paraId="49A2DE8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14" w:type="pct"/>
            <w:tcBorders>
              <w:top w:val="nil"/>
              <w:left w:val="nil"/>
              <w:bottom w:val="single" w:sz="8" w:space="0" w:color="auto"/>
              <w:right w:val="nil"/>
            </w:tcBorders>
            <w:shd w:val="clear" w:color="auto" w:fill="auto"/>
            <w:noWrap/>
            <w:hideMark/>
          </w:tcPr>
          <w:p w14:paraId="083EC8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6BA6E3C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7C7C43B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14" w:type="pct"/>
            <w:tcBorders>
              <w:top w:val="nil"/>
              <w:left w:val="nil"/>
              <w:bottom w:val="single" w:sz="8" w:space="0" w:color="auto"/>
              <w:right w:val="nil"/>
            </w:tcBorders>
            <w:shd w:val="clear" w:color="auto" w:fill="auto"/>
            <w:noWrap/>
            <w:hideMark/>
          </w:tcPr>
          <w:p w14:paraId="463DE2B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4F30A68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1872886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3A4F857F" w14:textId="4CF7ED4A"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11</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non-financial FWLs and financial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Non-financial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financial term following Matsumoto et al. 2011 TAR. Financial FWLs are defined as the number of sentences containing a forward-looking term (e.g., “company expects” or “firm projects”) and a financial term.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17C12CFC" w14:textId="77777777" w:rsidR="00E712B3" w:rsidRPr="00E712B3" w:rsidRDefault="00E712B3" w:rsidP="00E712B3">
      <w:pPr>
        <w:autoSpaceDE w:val="0"/>
        <w:autoSpaceDN w:val="0"/>
        <w:adjustRightInd w:val="0"/>
        <w:rPr>
          <w:rFonts w:ascii="Times New Roman" w:eastAsia="Times New Roman" w:hAnsi="Times New Roman" w:cs="Times New Roman"/>
          <w:b/>
          <w:bCs/>
          <w:color w:val="000000"/>
          <w:sz w:val="24"/>
        </w:rPr>
      </w:pPr>
    </w:p>
    <w:p w14:paraId="50257F30" w14:textId="739E95D2" w:rsidR="008972C5" w:rsidRDefault="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687014E" w14:textId="77777777"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7B7C2881" w14:textId="2B5AFBDE" w:rsidR="00B14ECE" w:rsidRDefault="00B14ECE" w:rsidP="008972C5">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Table 8</w:t>
      </w:r>
    </w:p>
    <w:p w14:paraId="2449CA1B" w14:textId="58FCF62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3DDB2D3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tbl>
      <w:tblPr>
        <w:tblpPr w:leftFromText="180" w:rightFromText="180" w:vertAnchor="text" w:horzAnchor="margin" w:tblpXSpec="center" w:tblpY="349"/>
        <w:tblW w:w="0" w:type="auto"/>
        <w:tblLook w:val="04A0" w:firstRow="1" w:lastRow="0" w:firstColumn="1" w:lastColumn="0" w:noHBand="0" w:noVBand="1"/>
      </w:tblPr>
      <w:tblGrid>
        <w:gridCol w:w="2612"/>
        <w:gridCol w:w="1660"/>
        <w:gridCol w:w="590"/>
        <w:gridCol w:w="887"/>
        <w:gridCol w:w="1096"/>
        <w:gridCol w:w="546"/>
        <w:gridCol w:w="858"/>
      </w:tblGrid>
      <w:tr w:rsidR="008972C5" w:rsidRPr="005F7C3C" w14:paraId="2DCFCF95" w14:textId="77777777" w:rsidTr="009B50B6">
        <w:trPr>
          <w:trHeight w:val="282"/>
        </w:trPr>
        <w:tc>
          <w:tcPr>
            <w:tcW w:w="0" w:type="auto"/>
            <w:gridSpan w:val="4"/>
            <w:tcBorders>
              <w:top w:val="nil"/>
              <w:left w:val="nil"/>
              <w:bottom w:val="single" w:sz="4" w:space="0" w:color="auto"/>
              <w:right w:val="nil"/>
            </w:tcBorders>
            <w:shd w:val="clear" w:color="auto" w:fill="auto"/>
            <w:noWrap/>
            <w:vAlign w:val="bottom"/>
            <w:hideMark/>
          </w:tcPr>
          <w:p w14:paraId="1C61CAA2"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sz w:val="24"/>
              </w:rPr>
              <w:t>Panel A: R&amp;D Investments and Information Environment</w:t>
            </w:r>
          </w:p>
        </w:tc>
        <w:tc>
          <w:tcPr>
            <w:tcW w:w="0" w:type="auto"/>
            <w:tcBorders>
              <w:top w:val="nil"/>
              <w:left w:val="nil"/>
              <w:bottom w:val="single" w:sz="4" w:space="0" w:color="auto"/>
              <w:right w:val="nil"/>
            </w:tcBorders>
            <w:shd w:val="clear" w:color="auto" w:fill="auto"/>
            <w:noWrap/>
            <w:vAlign w:val="bottom"/>
            <w:hideMark/>
          </w:tcPr>
          <w:p w14:paraId="6EA758CE"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2506BA45"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0E249E0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r w:rsidR="008972C5" w:rsidRPr="005F7C3C" w14:paraId="31AE2FD1" w14:textId="77777777" w:rsidTr="009B50B6">
        <w:trPr>
          <w:trHeight w:val="282"/>
        </w:trPr>
        <w:tc>
          <w:tcPr>
            <w:tcW w:w="0" w:type="auto"/>
            <w:tcBorders>
              <w:top w:val="nil"/>
              <w:left w:val="nil"/>
              <w:bottom w:val="nil"/>
              <w:right w:val="nil"/>
            </w:tcBorders>
            <w:shd w:val="clear" w:color="auto" w:fill="auto"/>
            <w:noWrap/>
            <w:vAlign w:val="center"/>
            <w:hideMark/>
          </w:tcPr>
          <w:p w14:paraId="185B5AD4" w14:textId="77777777" w:rsidR="008972C5" w:rsidRPr="005F7C3C" w:rsidRDefault="008972C5" w:rsidP="009B50B6">
            <w:pPr>
              <w:rPr>
                <w:rFonts w:ascii="Times New Roman" w:eastAsia="Times New Roman" w:hAnsi="Times New Roman" w:cs="Times New Roman"/>
                <w:color w:val="000000"/>
              </w:rPr>
            </w:pPr>
          </w:p>
        </w:tc>
        <w:tc>
          <w:tcPr>
            <w:tcW w:w="0" w:type="auto"/>
            <w:gridSpan w:val="5"/>
            <w:tcBorders>
              <w:top w:val="nil"/>
              <w:left w:val="nil"/>
              <w:bottom w:val="single" w:sz="4" w:space="0" w:color="auto"/>
              <w:right w:val="nil"/>
            </w:tcBorders>
            <w:shd w:val="clear" w:color="auto" w:fill="auto"/>
            <w:noWrap/>
            <w:vAlign w:val="center"/>
            <w:hideMark/>
          </w:tcPr>
          <w:p w14:paraId="03B82660"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INFO_ENVN</w:t>
            </w:r>
          </w:p>
        </w:tc>
        <w:tc>
          <w:tcPr>
            <w:tcW w:w="0" w:type="auto"/>
            <w:tcBorders>
              <w:top w:val="nil"/>
              <w:left w:val="nil"/>
              <w:bottom w:val="single" w:sz="4" w:space="0" w:color="auto"/>
              <w:right w:val="nil"/>
            </w:tcBorders>
            <w:shd w:val="clear" w:color="auto" w:fill="auto"/>
            <w:noWrap/>
            <w:vAlign w:val="center"/>
            <w:hideMark/>
          </w:tcPr>
          <w:p w14:paraId="4AA4DC8F"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r>
      <w:tr w:rsidR="008972C5" w:rsidRPr="005F7C3C" w14:paraId="35565D0F" w14:textId="77777777" w:rsidTr="009B50B6">
        <w:trPr>
          <w:trHeight w:val="282"/>
        </w:trPr>
        <w:tc>
          <w:tcPr>
            <w:tcW w:w="0" w:type="auto"/>
            <w:tcBorders>
              <w:top w:val="nil"/>
              <w:left w:val="nil"/>
              <w:bottom w:val="nil"/>
              <w:right w:val="nil"/>
            </w:tcBorders>
            <w:shd w:val="clear" w:color="auto" w:fill="auto"/>
            <w:noWrap/>
            <w:vAlign w:val="bottom"/>
            <w:hideMark/>
          </w:tcPr>
          <w:p w14:paraId="026D44EA" w14:textId="77777777" w:rsidR="008972C5" w:rsidRPr="005F7C3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34F96C45" w14:textId="77777777" w:rsidR="008972C5" w:rsidRPr="005F7C3C" w:rsidRDefault="008972C5" w:rsidP="009B50B6">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 xml:space="preserve">High </w:t>
            </w:r>
            <w:r w:rsidRPr="005F7C3C">
              <w:rPr>
                <w:rFonts w:ascii="Times New Roman" w:eastAsia="Times New Roman" w:hAnsi="Times New Roman" w:cs="Times New Roman"/>
                <w:b/>
                <w:bCs/>
                <w:i/>
                <w:iCs/>
                <w:color w:val="000000"/>
              </w:rPr>
              <w:t>R&amp;D</w:t>
            </w:r>
          </w:p>
        </w:tc>
        <w:tc>
          <w:tcPr>
            <w:tcW w:w="0" w:type="auto"/>
            <w:gridSpan w:val="3"/>
            <w:tcBorders>
              <w:top w:val="single" w:sz="4" w:space="0" w:color="auto"/>
              <w:left w:val="nil"/>
              <w:bottom w:val="nil"/>
              <w:right w:val="nil"/>
            </w:tcBorders>
            <w:shd w:val="clear" w:color="auto" w:fill="auto"/>
            <w:noWrap/>
            <w:vAlign w:val="bottom"/>
            <w:hideMark/>
          </w:tcPr>
          <w:p w14:paraId="5FBB73CD" w14:textId="77777777" w:rsidR="008972C5" w:rsidRPr="005F7C3C" w:rsidRDefault="008972C5" w:rsidP="009B50B6">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Low</w:t>
            </w:r>
            <w:r w:rsidRPr="005F7C3C">
              <w:rPr>
                <w:rFonts w:ascii="Times New Roman" w:eastAsia="Times New Roman" w:hAnsi="Times New Roman" w:cs="Times New Roman"/>
                <w:b/>
                <w:bCs/>
                <w:i/>
                <w:iCs/>
                <w:color w:val="000000"/>
              </w:rPr>
              <w:t xml:space="preserve"> R&amp;D</w:t>
            </w:r>
          </w:p>
        </w:tc>
      </w:tr>
      <w:tr w:rsidR="008972C5" w:rsidRPr="005F7C3C" w14:paraId="072C7977" w14:textId="77777777" w:rsidTr="009B50B6">
        <w:trPr>
          <w:trHeight w:val="282"/>
        </w:trPr>
        <w:tc>
          <w:tcPr>
            <w:tcW w:w="0" w:type="auto"/>
            <w:tcBorders>
              <w:top w:val="nil"/>
              <w:left w:val="nil"/>
              <w:bottom w:val="nil"/>
              <w:right w:val="nil"/>
            </w:tcBorders>
            <w:shd w:val="clear" w:color="auto" w:fill="auto"/>
            <w:noWrap/>
            <w:vAlign w:val="bottom"/>
            <w:hideMark/>
          </w:tcPr>
          <w:p w14:paraId="4D3CDD44" w14:textId="77777777" w:rsidR="008972C5" w:rsidRPr="005F7C3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33016B38" w14:textId="77777777" w:rsidR="008972C5" w:rsidRPr="005F7C3C" w:rsidRDefault="008972C5" w:rsidP="009B50B6">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87B244D" w14:textId="77777777" w:rsidR="008972C5" w:rsidRPr="005F7C3C" w:rsidRDefault="008972C5" w:rsidP="009B50B6">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r>
      <w:tr w:rsidR="008972C5" w:rsidRPr="005F7C3C" w14:paraId="4D7AA70F" w14:textId="77777777" w:rsidTr="009B50B6">
        <w:trPr>
          <w:trHeight w:val="282"/>
        </w:trPr>
        <w:tc>
          <w:tcPr>
            <w:tcW w:w="0" w:type="auto"/>
            <w:tcBorders>
              <w:top w:val="nil"/>
              <w:left w:val="nil"/>
              <w:bottom w:val="single" w:sz="4" w:space="0" w:color="auto"/>
              <w:right w:val="nil"/>
            </w:tcBorders>
            <w:shd w:val="clear" w:color="auto" w:fill="auto"/>
            <w:noWrap/>
            <w:vAlign w:val="bottom"/>
            <w:hideMark/>
          </w:tcPr>
          <w:p w14:paraId="503C7563"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A7048C8"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0A4F721"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3A951A1"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1AD6083"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35C4A6C"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69FD9FD"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972C5" w:rsidRPr="005F7C3C" w14:paraId="27AEE8F8" w14:textId="77777777" w:rsidTr="009B50B6">
        <w:trPr>
          <w:trHeight w:val="282"/>
        </w:trPr>
        <w:tc>
          <w:tcPr>
            <w:tcW w:w="0" w:type="auto"/>
            <w:tcBorders>
              <w:top w:val="nil"/>
              <w:left w:val="nil"/>
              <w:bottom w:val="nil"/>
              <w:right w:val="nil"/>
            </w:tcBorders>
            <w:shd w:val="clear" w:color="auto" w:fill="auto"/>
            <w:noWrap/>
            <w:vAlign w:val="bottom"/>
            <w:hideMark/>
          </w:tcPr>
          <w:p w14:paraId="7567D6B8"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BA53CB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0.5871</w:t>
            </w:r>
          </w:p>
        </w:tc>
        <w:tc>
          <w:tcPr>
            <w:tcW w:w="0" w:type="auto"/>
            <w:tcBorders>
              <w:top w:val="nil"/>
              <w:left w:val="nil"/>
              <w:bottom w:val="nil"/>
              <w:right w:val="nil"/>
            </w:tcBorders>
            <w:shd w:val="clear" w:color="auto" w:fill="auto"/>
            <w:noWrap/>
            <w:vAlign w:val="center"/>
            <w:hideMark/>
          </w:tcPr>
          <w:p w14:paraId="7D180E13"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EE0F2E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w:t>
            </w:r>
          </w:p>
        </w:tc>
        <w:tc>
          <w:tcPr>
            <w:tcW w:w="0" w:type="auto"/>
            <w:tcBorders>
              <w:top w:val="nil"/>
              <w:left w:val="nil"/>
              <w:bottom w:val="nil"/>
              <w:right w:val="nil"/>
            </w:tcBorders>
            <w:shd w:val="clear" w:color="auto" w:fill="auto"/>
            <w:noWrap/>
            <w:hideMark/>
          </w:tcPr>
          <w:p w14:paraId="36D44A0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0.3880</w:t>
            </w:r>
          </w:p>
        </w:tc>
        <w:tc>
          <w:tcPr>
            <w:tcW w:w="0" w:type="auto"/>
            <w:tcBorders>
              <w:top w:val="nil"/>
              <w:left w:val="nil"/>
              <w:bottom w:val="nil"/>
              <w:right w:val="nil"/>
            </w:tcBorders>
            <w:shd w:val="clear" w:color="auto" w:fill="auto"/>
            <w:noWrap/>
            <w:vAlign w:val="center"/>
            <w:hideMark/>
          </w:tcPr>
          <w:p w14:paraId="0929103E"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60CD4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(12.45)</w:t>
            </w:r>
          </w:p>
        </w:tc>
      </w:tr>
      <w:tr w:rsidR="008972C5" w:rsidRPr="005F7C3C" w14:paraId="352FDDA0" w14:textId="77777777" w:rsidTr="009B50B6">
        <w:trPr>
          <w:trHeight w:val="288"/>
        </w:trPr>
        <w:tc>
          <w:tcPr>
            <w:tcW w:w="0" w:type="auto"/>
            <w:tcBorders>
              <w:top w:val="nil"/>
              <w:left w:val="nil"/>
              <w:bottom w:val="nil"/>
              <w:right w:val="nil"/>
            </w:tcBorders>
            <w:shd w:val="clear" w:color="auto" w:fill="auto"/>
            <w:noWrap/>
            <w:hideMark/>
          </w:tcPr>
          <w:p w14:paraId="7C2C27F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45061F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0.1178</w:t>
            </w:r>
          </w:p>
        </w:tc>
        <w:tc>
          <w:tcPr>
            <w:tcW w:w="0" w:type="auto"/>
            <w:tcBorders>
              <w:top w:val="nil"/>
              <w:left w:val="nil"/>
              <w:bottom w:val="nil"/>
              <w:right w:val="nil"/>
            </w:tcBorders>
            <w:shd w:val="clear" w:color="auto" w:fill="auto"/>
            <w:noWrap/>
            <w:vAlign w:val="center"/>
            <w:hideMark/>
          </w:tcPr>
          <w:p w14:paraId="16F61329"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49CDA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(1.45)</w:t>
            </w:r>
          </w:p>
        </w:tc>
        <w:tc>
          <w:tcPr>
            <w:tcW w:w="0" w:type="auto"/>
            <w:tcBorders>
              <w:top w:val="nil"/>
              <w:left w:val="nil"/>
              <w:bottom w:val="nil"/>
              <w:right w:val="nil"/>
            </w:tcBorders>
            <w:shd w:val="clear" w:color="auto" w:fill="auto"/>
            <w:noWrap/>
            <w:hideMark/>
          </w:tcPr>
          <w:p w14:paraId="1F64787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-0.0530</w:t>
            </w:r>
          </w:p>
        </w:tc>
        <w:tc>
          <w:tcPr>
            <w:tcW w:w="0" w:type="auto"/>
            <w:tcBorders>
              <w:top w:val="nil"/>
              <w:left w:val="nil"/>
              <w:bottom w:val="nil"/>
              <w:right w:val="nil"/>
            </w:tcBorders>
            <w:shd w:val="clear" w:color="auto" w:fill="auto"/>
            <w:noWrap/>
            <w:vAlign w:val="center"/>
            <w:hideMark/>
          </w:tcPr>
          <w:p w14:paraId="6C6EF2A7"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75FE70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(-1.53)</w:t>
            </w:r>
          </w:p>
        </w:tc>
      </w:tr>
      <w:tr w:rsidR="008972C5" w:rsidRPr="005F7C3C" w14:paraId="0F073B94" w14:textId="77777777" w:rsidTr="009B50B6">
        <w:trPr>
          <w:trHeight w:val="288"/>
        </w:trPr>
        <w:tc>
          <w:tcPr>
            <w:tcW w:w="0" w:type="auto"/>
            <w:tcBorders>
              <w:top w:val="nil"/>
              <w:left w:val="nil"/>
              <w:bottom w:val="nil"/>
              <w:right w:val="nil"/>
            </w:tcBorders>
            <w:shd w:val="clear" w:color="auto" w:fill="auto"/>
            <w:noWrap/>
            <w:hideMark/>
          </w:tcPr>
          <w:p w14:paraId="08561F5E"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AFDFD4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auto" w:fill="auto"/>
            <w:noWrap/>
            <w:vAlign w:val="center"/>
            <w:hideMark/>
          </w:tcPr>
          <w:p w14:paraId="2CE9E24F"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9BCAF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(-1.26)</w:t>
            </w:r>
          </w:p>
        </w:tc>
        <w:tc>
          <w:tcPr>
            <w:tcW w:w="0" w:type="auto"/>
            <w:tcBorders>
              <w:top w:val="nil"/>
              <w:left w:val="nil"/>
              <w:bottom w:val="nil"/>
              <w:right w:val="nil"/>
            </w:tcBorders>
            <w:shd w:val="clear" w:color="auto" w:fill="auto"/>
            <w:noWrap/>
            <w:hideMark/>
          </w:tcPr>
          <w:p w14:paraId="2AC7210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-0.0179</w:t>
            </w:r>
          </w:p>
        </w:tc>
        <w:tc>
          <w:tcPr>
            <w:tcW w:w="0" w:type="auto"/>
            <w:tcBorders>
              <w:top w:val="nil"/>
              <w:left w:val="nil"/>
              <w:bottom w:val="nil"/>
              <w:right w:val="nil"/>
            </w:tcBorders>
            <w:shd w:val="clear" w:color="auto" w:fill="auto"/>
            <w:noWrap/>
            <w:vAlign w:val="center"/>
            <w:hideMark/>
          </w:tcPr>
          <w:p w14:paraId="344AF09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FBE18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(-0.34)</w:t>
            </w:r>
          </w:p>
        </w:tc>
      </w:tr>
      <w:tr w:rsidR="008972C5" w:rsidRPr="005F7C3C" w14:paraId="5A407F34" w14:textId="77777777" w:rsidTr="009B50B6">
        <w:trPr>
          <w:trHeight w:val="288"/>
        </w:trPr>
        <w:tc>
          <w:tcPr>
            <w:tcW w:w="0" w:type="auto"/>
            <w:tcBorders>
              <w:top w:val="nil"/>
              <w:left w:val="nil"/>
              <w:bottom w:val="nil"/>
              <w:right w:val="nil"/>
            </w:tcBorders>
            <w:shd w:val="clear" w:color="auto" w:fill="auto"/>
            <w:noWrap/>
            <w:hideMark/>
          </w:tcPr>
          <w:p w14:paraId="23856034" w14:textId="77777777" w:rsidR="008972C5" w:rsidRPr="005F7C3C" w:rsidRDefault="008972C5" w:rsidP="009B50B6">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4EC870A6"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-0.1573</w:t>
            </w:r>
          </w:p>
        </w:tc>
        <w:tc>
          <w:tcPr>
            <w:tcW w:w="0" w:type="auto"/>
            <w:tcBorders>
              <w:top w:val="nil"/>
              <w:left w:val="nil"/>
              <w:bottom w:val="nil"/>
              <w:right w:val="nil"/>
            </w:tcBorders>
            <w:shd w:val="clear" w:color="auto" w:fill="auto"/>
            <w:noWrap/>
            <w:vAlign w:val="center"/>
            <w:hideMark/>
          </w:tcPr>
          <w:p w14:paraId="7A966E43"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810F7FF"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(-3.75)</w:t>
            </w:r>
          </w:p>
        </w:tc>
        <w:tc>
          <w:tcPr>
            <w:tcW w:w="0" w:type="auto"/>
            <w:tcBorders>
              <w:top w:val="nil"/>
              <w:left w:val="nil"/>
              <w:bottom w:val="nil"/>
              <w:right w:val="nil"/>
            </w:tcBorders>
            <w:shd w:val="clear" w:color="auto" w:fill="auto"/>
            <w:noWrap/>
            <w:hideMark/>
          </w:tcPr>
          <w:p w14:paraId="3E06F4FD"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-0.0835</w:t>
            </w:r>
          </w:p>
        </w:tc>
        <w:tc>
          <w:tcPr>
            <w:tcW w:w="0" w:type="auto"/>
            <w:tcBorders>
              <w:top w:val="nil"/>
              <w:left w:val="nil"/>
              <w:bottom w:val="nil"/>
              <w:right w:val="nil"/>
            </w:tcBorders>
            <w:shd w:val="clear" w:color="auto" w:fill="auto"/>
            <w:noWrap/>
            <w:vAlign w:val="center"/>
            <w:hideMark/>
          </w:tcPr>
          <w:p w14:paraId="2BF1516C"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3CD68F6"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(-2.74)</w:t>
            </w:r>
          </w:p>
        </w:tc>
      </w:tr>
      <w:tr w:rsidR="008972C5" w:rsidRPr="005F7C3C" w14:paraId="08C2BFAB" w14:textId="77777777" w:rsidTr="009B50B6">
        <w:trPr>
          <w:trHeight w:val="288"/>
        </w:trPr>
        <w:tc>
          <w:tcPr>
            <w:tcW w:w="0" w:type="auto"/>
            <w:tcBorders>
              <w:top w:val="nil"/>
              <w:left w:val="nil"/>
              <w:bottom w:val="nil"/>
              <w:right w:val="nil"/>
            </w:tcBorders>
            <w:shd w:val="clear" w:color="auto" w:fill="auto"/>
            <w:noWrap/>
            <w:hideMark/>
          </w:tcPr>
          <w:p w14:paraId="775CE5EC"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1ED8E7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-0.1952</w:t>
            </w:r>
          </w:p>
        </w:tc>
        <w:tc>
          <w:tcPr>
            <w:tcW w:w="0" w:type="auto"/>
            <w:tcBorders>
              <w:top w:val="nil"/>
              <w:left w:val="nil"/>
              <w:bottom w:val="nil"/>
              <w:right w:val="nil"/>
            </w:tcBorders>
            <w:shd w:val="clear" w:color="auto" w:fill="auto"/>
            <w:noWrap/>
            <w:vAlign w:val="center"/>
            <w:hideMark/>
          </w:tcPr>
          <w:p w14:paraId="51801FB6"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4D5BD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(-1.76)</w:t>
            </w:r>
          </w:p>
        </w:tc>
        <w:tc>
          <w:tcPr>
            <w:tcW w:w="0" w:type="auto"/>
            <w:tcBorders>
              <w:top w:val="nil"/>
              <w:left w:val="nil"/>
              <w:bottom w:val="nil"/>
              <w:right w:val="nil"/>
            </w:tcBorders>
            <w:shd w:val="clear" w:color="auto" w:fill="auto"/>
            <w:noWrap/>
            <w:hideMark/>
          </w:tcPr>
          <w:p w14:paraId="21C90EF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-0.1742</w:t>
            </w:r>
          </w:p>
        </w:tc>
        <w:tc>
          <w:tcPr>
            <w:tcW w:w="0" w:type="auto"/>
            <w:tcBorders>
              <w:top w:val="nil"/>
              <w:left w:val="nil"/>
              <w:bottom w:val="nil"/>
              <w:right w:val="nil"/>
            </w:tcBorders>
            <w:shd w:val="clear" w:color="auto" w:fill="auto"/>
            <w:noWrap/>
            <w:vAlign w:val="center"/>
            <w:hideMark/>
          </w:tcPr>
          <w:p w14:paraId="394FD4A0"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CF1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r>
      <w:tr w:rsidR="008972C5" w:rsidRPr="005F7C3C" w14:paraId="017B3043" w14:textId="77777777" w:rsidTr="009B50B6">
        <w:trPr>
          <w:trHeight w:val="288"/>
        </w:trPr>
        <w:tc>
          <w:tcPr>
            <w:tcW w:w="0" w:type="auto"/>
            <w:tcBorders>
              <w:top w:val="nil"/>
              <w:left w:val="nil"/>
              <w:bottom w:val="nil"/>
              <w:right w:val="nil"/>
            </w:tcBorders>
            <w:shd w:val="clear" w:color="auto" w:fill="auto"/>
            <w:noWrap/>
            <w:hideMark/>
          </w:tcPr>
          <w:p w14:paraId="323FA9B6"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4F5E737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7581BAC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871B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4C5F3D2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-0.0758</w:t>
            </w:r>
          </w:p>
        </w:tc>
        <w:tc>
          <w:tcPr>
            <w:tcW w:w="0" w:type="auto"/>
            <w:tcBorders>
              <w:top w:val="nil"/>
              <w:left w:val="nil"/>
              <w:bottom w:val="nil"/>
              <w:right w:val="nil"/>
            </w:tcBorders>
            <w:shd w:val="clear" w:color="auto" w:fill="auto"/>
            <w:noWrap/>
            <w:vAlign w:val="center"/>
            <w:hideMark/>
          </w:tcPr>
          <w:p w14:paraId="7CB968B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F4129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5300A09A" w14:textId="77777777" w:rsidTr="009B50B6">
        <w:trPr>
          <w:trHeight w:val="288"/>
        </w:trPr>
        <w:tc>
          <w:tcPr>
            <w:tcW w:w="0" w:type="auto"/>
            <w:tcBorders>
              <w:top w:val="nil"/>
              <w:left w:val="nil"/>
              <w:bottom w:val="nil"/>
              <w:right w:val="nil"/>
            </w:tcBorders>
            <w:shd w:val="clear" w:color="auto" w:fill="auto"/>
            <w:noWrap/>
            <w:hideMark/>
          </w:tcPr>
          <w:p w14:paraId="6DF72D5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3E943D6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-0.0433</w:t>
            </w:r>
          </w:p>
        </w:tc>
        <w:tc>
          <w:tcPr>
            <w:tcW w:w="0" w:type="auto"/>
            <w:tcBorders>
              <w:top w:val="nil"/>
              <w:left w:val="nil"/>
              <w:bottom w:val="nil"/>
              <w:right w:val="nil"/>
            </w:tcBorders>
            <w:shd w:val="clear" w:color="auto" w:fill="auto"/>
            <w:noWrap/>
            <w:vAlign w:val="center"/>
            <w:hideMark/>
          </w:tcPr>
          <w:p w14:paraId="5803632A"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00338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3C6744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0.0230</w:t>
            </w:r>
          </w:p>
        </w:tc>
        <w:tc>
          <w:tcPr>
            <w:tcW w:w="0" w:type="auto"/>
            <w:tcBorders>
              <w:top w:val="nil"/>
              <w:left w:val="nil"/>
              <w:bottom w:val="nil"/>
              <w:right w:val="nil"/>
            </w:tcBorders>
            <w:shd w:val="clear" w:color="auto" w:fill="auto"/>
            <w:noWrap/>
            <w:vAlign w:val="center"/>
            <w:hideMark/>
          </w:tcPr>
          <w:p w14:paraId="2F67894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0A5F8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r>
      <w:tr w:rsidR="008972C5" w:rsidRPr="005F7C3C" w14:paraId="2E915D4A" w14:textId="77777777" w:rsidTr="009B50B6">
        <w:trPr>
          <w:trHeight w:val="288"/>
        </w:trPr>
        <w:tc>
          <w:tcPr>
            <w:tcW w:w="0" w:type="auto"/>
            <w:tcBorders>
              <w:top w:val="nil"/>
              <w:left w:val="nil"/>
              <w:bottom w:val="nil"/>
              <w:right w:val="nil"/>
            </w:tcBorders>
            <w:shd w:val="clear" w:color="auto" w:fill="auto"/>
            <w:noWrap/>
            <w:hideMark/>
          </w:tcPr>
          <w:p w14:paraId="5A1E21D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106070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-0.0977</w:t>
            </w:r>
          </w:p>
        </w:tc>
        <w:tc>
          <w:tcPr>
            <w:tcW w:w="0" w:type="auto"/>
            <w:tcBorders>
              <w:top w:val="nil"/>
              <w:left w:val="nil"/>
              <w:bottom w:val="nil"/>
              <w:right w:val="nil"/>
            </w:tcBorders>
            <w:shd w:val="clear" w:color="auto" w:fill="auto"/>
            <w:noWrap/>
            <w:vAlign w:val="center"/>
            <w:hideMark/>
          </w:tcPr>
          <w:p w14:paraId="6F489F6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177E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306AE5B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FFA5F0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31BDA4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8972C5" w:rsidRPr="005F7C3C" w14:paraId="3A5E657E" w14:textId="77777777" w:rsidTr="009B50B6">
        <w:trPr>
          <w:trHeight w:val="288"/>
        </w:trPr>
        <w:tc>
          <w:tcPr>
            <w:tcW w:w="0" w:type="auto"/>
            <w:tcBorders>
              <w:top w:val="nil"/>
              <w:left w:val="nil"/>
              <w:bottom w:val="nil"/>
              <w:right w:val="nil"/>
            </w:tcBorders>
            <w:shd w:val="clear" w:color="auto" w:fill="auto"/>
            <w:noWrap/>
            <w:hideMark/>
          </w:tcPr>
          <w:p w14:paraId="19B499A8"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077773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0.0435</w:t>
            </w:r>
          </w:p>
        </w:tc>
        <w:tc>
          <w:tcPr>
            <w:tcW w:w="0" w:type="auto"/>
            <w:tcBorders>
              <w:top w:val="nil"/>
              <w:left w:val="nil"/>
              <w:bottom w:val="nil"/>
              <w:right w:val="nil"/>
            </w:tcBorders>
            <w:shd w:val="clear" w:color="auto" w:fill="auto"/>
            <w:noWrap/>
            <w:vAlign w:val="center"/>
            <w:hideMark/>
          </w:tcPr>
          <w:p w14:paraId="4225EAE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B24D6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(0.54)</w:t>
            </w:r>
          </w:p>
        </w:tc>
        <w:tc>
          <w:tcPr>
            <w:tcW w:w="0" w:type="auto"/>
            <w:tcBorders>
              <w:top w:val="nil"/>
              <w:left w:val="nil"/>
              <w:bottom w:val="nil"/>
              <w:right w:val="nil"/>
            </w:tcBorders>
            <w:shd w:val="clear" w:color="auto" w:fill="auto"/>
            <w:noWrap/>
            <w:hideMark/>
          </w:tcPr>
          <w:p w14:paraId="2A514BC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0.0241</w:t>
            </w:r>
          </w:p>
        </w:tc>
        <w:tc>
          <w:tcPr>
            <w:tcW w:w="0" w:type="auto"/>
            <w:tcBorders>
              <w:top w:val="nil"/>
              <w:left w:val="nil"/>
              <w:bottom w:val="nil"/>
              <w:right w:val="nil"/>
            </w:tcBorders>
            <w:shd w:val="clear" w:color="auto" w:fill="auto"/>
            <w:noWrap/>
            <w:vAlign w:val="center"/>
            <w:hideMark/>
          </w:tcPr>
          <w:p w14:paraId="0BD5E55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7CB393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r>
      <w:tr w:rsidR="008972C5" w:rsidRPr="005F7C3C" w14:paraId="7559532D" w14:textId="77777777" w:rsidTr="009B50B6">
        <w:trPr>
          <w:trHeight w:val="288"/>
        </w:trPr>
        <w:tc>
          <w:tcPr>
            <w:tcW w:w="0" w:type="auto"/>
            <w:tcBorders>
              <w:top w:val="nil"/>
              <w:left w:val="nil"/>
              <w:bottom w:val="nil"/>
              <w:right w:val="nil"/>
            </w:tcBorders>
            <w:shd w:val="clear" w:color="auto" w:fill="auto"/>
            <w:noWrap/>
            <w:hideMark/>
          </w:tcPr>
          <w:p w14:paraId="5268784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CDC008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0.0964</w:t>
            </w:r>
          </w:p>
        </w:tc>
        <w:tc>
          <w:tcPr>
            <w:tcW w:w="0" w:type="auto"/>
            <w:tcBorders>
              <w:top w:val="nil"/>
              <w:left w:val="nil"/>
              <w:bottom w:val="nil"/>
              <w:right w:val="nil"/>
            </w:tcBorders>
            <w:shd w:val="clear" w:color="auto" w:fill="auto"/>
            <w:noWrap/>
            <w:vAlign w:val="center"/>
            <w:hideMark/>
          </w:tcPr>
          <w:p w14:paraId="6F0D4416"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F9E24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0F6B637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25D293D5"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7E2B8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8972C5" w:rsidRPr="005F7C3C" w14:paraId="160F3EA6" w14:textId="77777777" w:rsidTr="009B50B6">
        <w:trPr>
          <w:trHeight w:val="288"/>
        </w:trPr>
        <w:tc>
          <w:tcPr>
            <w:tcW w:w="0" w:type="auto"/>
            <w:tcBorders>
              <w:top w:val="nil"/>
              <w:left w:val="nil"/>
              <w:bottom w:val="nil"/>
              <w:right w:val="nil"/>
            </w:tcBorders>
            <w:shd w:val="clear" w:color="auto" w:fill="auto"/>
            <w:noWrap/>
            <w:hideMark/>
          </w:tcPr>
          <w:p w14:paraId="7ED8E3D3"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1A906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0.0200</w:t>
            </w:r>
          </w:p>
        </w:tc>
        <w:tc>
          <w:tcPr>
            <w:tcW w:w="0" w:type="auto"/>
            <w:tcBorders>
              <w:top w:val="nil"/>
              <w:left w:val="nil"/>
              <w:bottom w:val="nil"/>
              <w:right w:val="nil"/>
            </w:tcBorders>
            <w:shd w:val="clear" w:color="auto" w:fill="auto"/>
            <w:noWrap/>
            <w:vAlign w:val="center"/>
            <w:hideMark/>
          </w:tcPr>
          <w:p w14:paraId="2C795E2C"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1E8A9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79B6823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0.0450</w:t>
            </w:r>
          </w:p>
        </w:tc>
        <w:tc>
          <w:tcPr>
            <w:tcW w:w="0" w:type="auto"/>
            <w:tcBorders>
              <w:top w:val="nil"/>
              <w:left w:val="nil"/>
              <w:bottom w:val="nil"/>
              <w:right w:val="nil"/>
            </w:tcBorders>
            <w:shd w:val="clear" w:color="auto" w:fill="auto"/>
            <w:noWrap/>
            <w:vAlign w:val="center"/>
            <w:hideMark/>
          </w:tcPr>
          <w:p w14:paraId="69AE51E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F8896D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r>
      <w:tr w:rsidR="008972C5" w:rsidRPr="005F7C3C" w14:paraId="7B8F936B" w14:textId="77777777" w:rsidTr="009B50B6">
        <w:trPr>
          <w:trHeight w:val="288"/>
        </w:trPr>
        <w:tc>
          <w:tcPr>
            <w:tcW w:w="0" w:type="auto"/>
            <w:tcBorders>
              <w:top w:val="nil"/>
              <w:left w:val="nil"/>
              <w:bottom w:val="nil"/>
              <w:right w:val="nil"/>
            </w:tcBorders>
            <w:shd w:val="clear" w:color="auto" w:fill="auto"/>
            <w:noWrap/>
            <w:hideMark/>
          </w:tcPr>
          <w:p w14:paraId="61E334E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471708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-0.0686</w:t>
            </w:r>
          </w:p>
        </w:tc>
        <w:tc>
          <w:tcPr>
            <w:tcW w:w="0" w:type="auto"/>
            <w:tcBorders>
              <w:top w:val="nil"/>
              <w:left w:val="nil"/>
              <w:bottom w:val="nil"/>
              <w:right w:val="nil"/>
            </w:tcBorders>
            <w:shd w:val="clear" w:color="auto" w:fill="auto"/>
            <w:noWrap/>
            <w:vAlign w:val="center"/>
            <w:hideMark/>
          </w:tcPr>
          <w:p w14:paraId="6EF62F5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58265E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268C5EB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-0.0948</w:t>
            </w:r>
          </w:p>
        </w:tc>
        <w:tc>
          <w:tcPr>
            <w:tcW w:w="0" w:type="auto"/>
            <w:tcBorders>
              <w:top w:val="nil"/>
              <w:left w:val="nil"/>
              <w:bottom w:val="nil"/>
              <w:right w:val="nil"/>
            </w:tcBorders>
            <w:shd w:val="clear" w:color="auto" w:fill="auto"/>
            <w:noWrap/>
            <w:vAlign w:val="center"/>
            <w:hideMark/>
          </w:tcPr>
          <w:p w14:paraId="721A0F1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C2785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r>
      <w:tr w:rsidR="008972C5" w:rsidRPr="005F7C3C" w14:paraId="36E35972" w14:textId="77777777" w:rsidTr="009B50B6">
        <w:trPr>
          <w:trHeight w:val="288"/>
        </w:trPr>
        <w:tc>
          <w:tcPr>
            <w:tcW w:w="0" w:type="auto"/>
            <w:tcBorders>
              <w:top w:val="nil"/>
              <w:left w:val="nil"/>
              <w:bottom w:val="nil"/>
              <w:right w:val="nil"/>
            </w:tcBorders>
            <w:shd w:val="clear" w:color="auto" w:fill="auto"/>
            <w:noWrap/>
            <w:hideMark/>
          </w:tcPr>
          <w:p w14:paraId="4E176CC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3B4E05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-0.0833</w:t>
            </w:r>
          </w:p>
        </w:tc>
        <w:tc>
          <w:tcPr>
            <w:tcW w:w="0" w:type="auto"/>
            <w:tcBorders>
              <w:top w:val="nil"/>
              <w:left w:val="nil"/>
              <w:bottom w:val="nil"/>
              <w:right w:val="nil"/>
            </w:tcBorders>
            <w:shd w:val="clear" w:color="auto" w:fill="auto"/>
            <w:noWrap/>
            <w:vAlign w:val="center"/>
            <w:hideMark/>
          </w:tcPr>
          <w:p w14:paraId="7D0F3F7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2E51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031B7EF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0.0290</w:t>
            </w:r>
          </w:p>
        </w:tc>
        <w:tc>
          <w:tcPr>
            <w:tcW w:w="0" w:type="auto"/>
            <w:tcBorders>
              <w:top w:val="nil"/>
              <w:left w:val="nil"/>
              <w:bottom w:val="nil"/>
              <w:right w:val="nil"/>
            </w:tcBorders>
            <w:shd w:val="clear" w:color="auto" w:fill="auto"/>
            <w:noWrap/>
            <w:vAlign w:val="center"/>
            <w:hideMark/>
          </w:tcPr>
          <w:p w14:paraId="50E3B5B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BFB08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29DCB520" w14:textId="77777777" w:rsidTr="009B50B6">
        <w:trPr>
          <w:trHeight w:val="288"/>
        </w:trPr>
        <w:tc>
          <w:tcPr>
            <w:tcW w:w="0" w:type="auto"/>
            <w:tcBorders>
              <w:top w:val="nil"/>
              <w:left w:val="nil"/>
              <w:bottom w:val="nil"/>
              <w:right w:val="nil"/>
            </w:tcBorders>
            <w:shd w:val="clear" w:color="auto" w:fill="auto"/>
            <w:noWrap/>
            <w:hideMark/>
          </w:tcPr>
          <w:p w14:paraId="4AEB4BAC"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3FC2D67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-0.7197</w:t>
            </w:r>
          </w:p>
        </w:tc>
        <w:tc>
          <w:tcPr>
            <w:tcW w:w="0" w:type="auto"/>
            <w:tcBorders>
              <w:top w:val="nil"/>
              <w:left w:val="nil"/>
              <w:bottom w:val="nil"/>
              <w:right w:val="nil"/>
            </w:tcBorders>
            <w:shd w:val="clear" w:color="auto" w:fill="auto"/>
            <w:noWrap/>
            <w:vAlign w:val="center"/>
            <w:hideMark/>
          </w:tcPr>
          <w:p w14:paraId="30AB1416"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2E5CF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(-3.72)</w:t>
            </w:r>
          </w:p>
        </w:tc>
        <w:tc>
          <w:tcPr>
            <w:tcW w:w="0" w:type="auto"/>
            <w:tcBorders>
              <w:top w:val="nil"/>
              <w:left w:val="nil"/>
              <w:bottom w:val="nil"/>
              <w:right w:val="nil"/>
            </w:tcBorders>
            <w:shd w:val="clear" w:color="auto" w:fill="auto"/>
            <w:noWrap/>
            <w:hideMark/>
          </w:tcPr>
          <w:p w14:paraId="43B0784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-0.8178</w:t>
            </w:r>
          </w:p>
        </w:tc>
        <w:tc>
          <w:tcPr>
            <w:tcW w:w="0" w:type="auto"/>
            <w:tcBorders>
              <w:top w:val="nil"/>
              <w:left w:val="nil"/>
              <w:bottom w:val="nil"/>
              <w:right w:val="nil"/>
            </w:tcBorders>
            <w:shd w:val="clear" w:color="auto" w:fill="auto"/>
            <w:noWrap/>
            <w:vAlign w:val="center"/>
            <w:hideMark/>
          </w:tcPr>
          <w:p w14:paraId="6403C0E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0CD1E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(-3.12)</w:t>
            </w:r>
          </w:p>
        </w:tc>
      </w:tr>
      <w:tr w:rsidR="008972C5" w:rsidRPr="005F7C3C" w14:paraId="4D34693F" w14:textId="77777777" w:rsidTr="009B50B6">
        <w:trPr>
          <w:trHeight w:val="288"/>
        </w:trPr>
        <w:tc>
          <w:tcPr>
            <w:tcW w:w="0" w:type="auto"/>
            <w:tcBorders>
              <w:top w:val="nil"/>
              <w:left w:val="nil"/>
              <w:bottom w:val="nil"/>
              <w:right w:val="nil"/>
            </w:tcBorders>
            <w:shd w:val="clear" w:color="auto" w:fill="auto"/>
            <w:noWrap/>
            <w:hideMark/>
          </w:tcPr>
          <w:p w14:paraId="131D675E"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A13335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-0.0103</w:t>
            </w:r>
          </w:p>
        </w:tc>
        <w:tc>
          <w:tcPr>
            <w:tcW w:w="0" w:type="auto"/>
            <w:tcBorders>
              <w:top w:val="nil"/>
              <w:left w:val="nil"/>
              <w:bottom w:val="nil"/>
              <w:right w:val="nil"/>
            </w:tcBorders>
            <w:shd w:val="clear" w:color="auto" w:fill="auto"/>
            <w:noWrap/>
            <w:vAlign w:val="center"/>
            <w:hideMark/>
          </w:tcPr>
          <w:p w14:paraId="7DA5D1F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75F65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1178EF4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-0.1293</w:t>
            </w:r>
          </w:p>
        </w:tc>
        <w:tc>
          <w:tcPr>
            <w:tcW w:w="0" w:type="auto"/>
            <w:tcBorders>
              <w:top w:val="nil"/>
              <w:left w:val="nil"/>
              <w:bottom w:val="nil"/>
              <w:right w:val="nil"/>
            </w:tcBorders>
            <w:shd w:val="clear" w:color="auto" w:fill="auto"/>
            <w:noWrap/>
            <w:vAlign w:val="center"/>
            <w:hideMark/>
          </w:tcPr>
          <w:p w14:paraId="6780580C"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BEBBB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w:t>
            </w:r>
          </w:p>
        </w:tc>
      </w:tr>
      <w:tr w:rsidR="008972C5" w:rsidRPr="005F7C3C" w14:paraId="04A614B5" w14:textId="77777777" w:rsidTr="009B50B6">
        <w:trPr>
          <w:trHeight w:val="288"/>
        </w:trPr>
        <w:tc>
          <w:tcPr>
            <w:tcW w:w="0" w:type="auto"/>
            <w:tcBorders>
              <w:top w:val="nil"/>
              <w:left w:val="nil"/>
              <w:bottom w:val="nil"/>
              <w:right w:val="nil"/>
            </w:tcBorders>
            <w:shd w:val="clear" w:color="auto" w:fill="auto"/>
            <w:noWrap/>
            <w:vAlign w:val="center"/>
            <w:hideMark/>
          </w:tcPr>
          <w:p w14:paraId="6EB662D6"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65FA9A7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0.0156</w:t>
            </w:r>
          </w:p>
        </w:tc>
        <w:tc>
          <w:tcPr>
            <w:tcW w:w="0" w:type="auto"/>
            <w:tcBorders>
              <w:top w:val="nil"/>
              <w:left w:val="nil"/>
              <w:bottom w:val="nil"/>
              <w:right w:val="nil"/>
            </w:tcBorders>
            <w:shd w:val="clear" w:color="auto" w:fill="auto"/>
            <w:noWrap/>
            <w:vAlign w:val="center"/>
            <w:hideMark/>
          </w:tcPr>
          <w:p w14:paraId="5A0572D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14971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16F57B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629DA8B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DA59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r>
      <w:tr w:rsidR="008972C5" w:rsidRPr="005F7C3C" w14:paraId="4726842A" w14:textId="77777777" w:rsidTr="009B50B6">
        <w:trPr>
          <w:trHeight w:val="288"/>
        </w:trPr>
        <w:tc>
          <w:tcPr>
            <w:tcW w:w="0" w:type="auto"/>
            <w:tcBorders>
              <w:top w:val="nil"/>
              <w:left w:val="nil"/>
              <w:bottom w:val="nil"/>
              <w:right w:val="nil"/>
            </w:tcBorders>
            <w:shd w:val="clear" w:color="auto" w:fill="auto"/>
            <w:noWrap/>
            <w:vAlign w:val="center"/>
            <w:hideMark/>
          </w:tcPr>
          <w:p w14:paraId="7275137B"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794A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0.0181</w:t>
            </w:r>
          </w:p>
        </w:tc>
        <w:tc>
          <w:tcPr>
            <w:tcW w:w="0" w:type="auto"/>
            <w:tcBorders>
              <w:top w:val="nil"/>
              <w:left w:val="nil"/>
              <w:bottom w:val="nil"/>
              <w:right w:val="nil"/>
            </w:tcBorders>
            <w:shd w:val="clear" w:color="auto" w:fill="auto"/>
            <w:noWrap/>
            <w:vAlign w:val="center"/>
            <w:hideMark/>
          </w:tcPr>
          <w:p w14:paraId="182EAAA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561D9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FBAF26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0.0191</w:t>
            </w:r>
          </w:p>
        </w:tc>
        <w:tc>
          <w:tcPr>
            <w:tcW w:w="0" w:type="auto"/>
            <w:tcBorders>
              <w:top w:val="nil"/>
              <w:left w:val="nil"/>
              <w:bottom w:val="nil"/>
              <w:right w:val="nil"/>
            </w:tcBorders>
            <w:shd w:val="clear" w:color="auto" w:fill="auto"/>
            <w:noWrap/>
            <w:vAlign w:val="center"/>
            <w:hideMark/>
          </w:tcPr>
          <w:p w14:paraId="71F2B94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BBB54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(0.50)</w:t>
            </w:r>
          </w:p>
        </w:tc>
      </w:tr>
      <w:tr w:rsidR="008972C5" w:rsidRPr="005F7C3C" w14:paraId="0393906C" w14:textId="77777777" w:rsidTr="009B50B6">
        <w:trPr>
          <w:trHeight w:val="288"/>
        </w:trPr>
        <w:tc>
          <w:tcPr>
            <w:tcW w:w="0" w:type="auto"/>
            <w:tcBorders>
              <w:top w:val="nil"/>
              <w:left w:val="nil"/>
              <w:bottom w:val="nil"/>
              <w:right w:val="nil"/>
            </w:tcBorders>
            <w:shd w:val="clear" w:color="auto" w:fill="auto"/>
            <w:noWrap/>
            <w:vAlign w:val="center"/>
            <w:hideMark/>
          </w:tcPr>
          <w:p w14:paraId="2BA92683"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3372E9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auto" w:fill="auto"/>
            <w:noWrap/>
            <w:vAlign w:val="center"/>
            <w:hideMark/>
          </w:tcPr>
          <w:p w14:paraId="4703C0E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60D556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(-0.66)</w:t>
            </w:r>
          </w:p>
        </w:tc>
        <w:tc>
          <w:tcPr>
            <w:tcW w:w="0" w:type="auto"/>
            <w:tcBorders>
              <w:top w:val="nil"/>
              <w:left w:val="nil"/>
              <w:bottom w:val="nil"/>
              <w:right w:val="nil"/>
            </w:tcBorders>
            <w:shd w:val="clear" w:color="auto" w:fill="auto"/>
            <w:noWrap/>
            <w:hideMark/>
          </w:tcPr>
          <w:p w14:paraId="7891722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auto" w:fill="auto"/>
            <w:noWrap/>
            <w:vAlign w:val="center"/>
            <w:hideMark/>
          </w:tcPr>
          <w:p w14:paraId="7ED5558C"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3FE72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972C5" w:rsidRPr="005F7C3C" w14:paraId="111564A6" w14:textId="77777777" w:rsidTr="009B50B6">
        <w:trPr>
          <w:trHeight w:val="288"/>
        </w:trPr>
        <w:tc>
          <w:tcPr>
            <w:tcW w:w="0" w:type="auto"/>
            <w:tcBorders>
              <w:top w:val="nil"/>
              <w:left w:val="nil"/>
              <w:bottom w:val="nil"/>
              <w:right w:val="nil"/>
            </w:tcBorders>
            <w:shd w:val="clear" w:color="auto" w:fill="auto"/>
            <w:noWrap/>
            <w:vAlign w:val="center"/>
            <w:hideMark/>
          </w:tcPr>
          <w:p w14:paraId="4F183D20"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FEDCFC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-0.1321</w:t>
            </w:r>
          </w:p>
        </w:tc>
        <w:tc>
          <w:tcPr>
            <w:tcW w:w="0" w:type="auto"/>
            <w:tcBorders>
              <w:top w:val="nil"/>
              <w:left w:val="nil"/>
              <w:bottom w:val="nil"/>
              <w:right w:val="nil"/>
            </w:tcBorders>
            <w:shd w:val="clear" w:color="auto" w:fill="auto"/>
            <w:noWrap/>
            <w:vAlign w:val="center"/>
            <w:hideMark/>
          </w:tcPr>
          <w:p w14:paraId="114A3A9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B5F55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(-1.17)</w:t>
            </w:r>
          </w:p>
        </w:tc>
        <w:tc>
          <w:tcPr>
            <w:tcW w:w="0" w:type="auto"/>
            <w:tcBorders>
              <w:top w:val="nil"/>
              <w:left w:val="nil"/>
              <w:bottom w:val="nil"/>
              <w:right w:val="nil"/>
            </w:tcBorders>
            <w:shd w:val="clear" w:color="auto" w:fill="auto"/>
            <w:noWrap/>
            <w:hideMark/>
          </w:tcPr>
          <w:p w14:paraId="4A91DF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0.0635</w:t>
            </w:r>
          </w:p>
        </w:tc>
        <w:tc>
          <w:tcPr>
            <w:tcW w:w="0" w:type="auto"/>
            <w:tcBorders>
              <w:top w:val="nil"/>
              <w:left w:val="nil"/>
              <w:bottom w:val="nil"/>
              <w:right w:val="nil"/>
            </w:tcBorders>
            <w:shd w:val="clear" w:color="auto" w:fill="auto"/>
            <w:noWrap/>
            <w:vAlign w:val="center"/>
            <w:hideMark/>
          </w:tcPr>
          <w:p w14:paraId="593AE37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36317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(1.50)</w:t>
            </w:r>
          </w:p>
        </w:tc>
      </w:tr>
      <w:tr w:rsidR="008972C5" w:rsidRPr="005F7C3C" w14:paraId="73A68B1C" w14:textId="77777777" w:rsidTr="009B50B6">
        <w:trPr>
          <w:trHeight w:val="288"/>
        </w:trPr>
        <w:tc>
          <w:tcPr>
            <w:tcW w:w="0" w:type="auto"/>
            <w:tcBorders>
              <w:top w:val="nil"/>
              <w:left w:val="nil"/>
              <w:bottom w:val="nil"/>
              <w:right w:val="nil"/>
            </w:tcBorders>
            <w:shd w:val="clear" w:color="auto" w:fill="auto"/>
            <w:noWrap/>
            <w:hideMark/>
          </w:tcPr>
          <w:p w14:paraId="7CC2FEC8"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5FB52DA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-0.1752</w:t>
            </w:r>
          </w:p>
        </w:tc>
        <w:tc>
          <w:tcPr>
            <w:tcW w:w="0" w:type="auto"/>
            <w:tcBorders>
              <w:top w:val="nil"/>
              <w:left w:val="nil"/>
              <w:bottom w:val="nil"/>
              <w:right w:val="nil"/>
            </w:tcBorders>
            <w:shd w:val="clear" w:color="auto" w:fill="auto"/>
            <w:noWrap/>
            <w:vAlign w:val="center"/>
            <w:hideMark/>
          </w:tcPr>
          <w:p w14:paraId="44A42D6A"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6F10A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64DDB12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-0.0763</w:t>
            </w:r>
          </w:p>
        </w:tc>
        <w:tc>
          <w:tcPr>
            <w:tcW w:w="0" w:type="auto"/>
            <w:tcBorders>
              <w:top w:val="nil"/>
              <w:left w:val="nil"/>
              <w:bottom w:val="nil"/>
              <w:right w:val="nil"/>
            </w:tcBorders>
            <w:shd w:val="clear" w:color="auto" w:fill="auto"/>
            <w:noWrap/>
            <w:vAlign w:val="center"/>
            <w:hideMark/>
          </w:tcPr>
          <w:p w14:paraId="27E1F5A5"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99719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(-2.90)</w:t>
            </w:r>
          </w:p>
        </w:tc>
      </w:tr>
      <w:tr w:rsidR="008972C5" w:rsidRPr="005F7C3C" w14:paraId="78D7C1C7" w14:textId="77777777" w:rsidTr="009B50B6">
        <w:trPr>
          <w:trHeight w:val="288"/>
        </w:trPr>
        <w:tc>
          <w:tcPr>
            <w:tcW w:w="0" w:type="auto"/>
            <w:tcBorders>
              <w:top w:val="nil"/>
              <w:left w:val="nil"/>
              <w:bottom w:val="single" w:sz="4" w:space="0" w:color="auto"/>
              <w:right w:val="nil"/>
            </w:tcBorders>
            <w:shd w:val="clear" w:color="auto" w:fill="auto"/>
            <w:noWrap/>
            <w:vAlign w:val="center"/>
            <w:hideMark/>
          </w:tcPr>
          <w:p w14:paraId="57339D4B"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226244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0.0764</w:t>
            </w:r>
          </w:p>
        </w:tc>
        <w:tc>
          <w:tcPr>
            <w:tcW w:w="0" w:type="auto"/>
            <w:tcBorders>
              <w:top w:val="nil"/>
              <w:left w:val="nil"/>
              <w:bottom w:val="single" w:sz="4" w:space="0" w:color="auto"/>
              <w:right w:val="nil"/>
            </w:tcBorders>
            <w:shd w:val="clear" w:color="auto" w:fill="auto"/>
            <w:noWrap/>
            <w:vAlign w:val="center"/>
            <w:hideMark/>
          </w:tcPr>
          <w:p w14:paraId="3C4AB66C"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945262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single" w:sz="4" w:space="0" w:color="auto"/>
              <w:right w:val="nil"/>
            </w:tcBorders>
            <w:shd w:val="clear" w:color="auto" w:fill="auto"/>
            <w:noWrap/>
            <w:hideMark/>
          </w:tcPr>
          <w:p w14:paraId="0CD6572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0.0997</w:t>
            </w:r>
          </w:p>
        </w:tc>
        <w:tc>
          <w:tcPr>
            <w:tcW w:w="0" w:type="auto"/>
            <w:tcBorders>
              <w:top w:val="nil"/>
              <w:left w:val="nil"/>
              <w:bottom w:val="single" w:sz="4" w:space="0" w:color="auto"/>
              <w:right w:val="nil"/>
            </w:tcBorders>
            <w:shd w:val="clear" w:color="auto" w:fill="auto"/>
            <w:noWrap/>
            <w:vAlign w:val="center"/>
            <w:hideMark/>
          </w:tcPr>
          <w:p w14:paraId="15D94B1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C23148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(1.16)</w:t>
            </w:r>
          </w:p>
        </w:tc>
      </w:tr>
      <w:tr w:rsidR="008972C5" w:rsidRPr="005F7C3C" w14:paraId="247E3E91" w14:textId="77777777" w:rsidTr="009B50B6">
        <w:trPr>
          <w:trHeight w:val="282"/>
        </w:trPr>
        <w:tc>
          <w:tcPr>
            <w:tcW w:w="0" w:type="auto"/>
            <w:tcBorders>
              <w:top w:val="nil"/>
              <w:left w:val="nil"/>
              <w:bottom w:val="nil"/>
              <w:right w:val="nil"/>
            </w:tcBorders>
            <w:shd w:val="clear" w:color="auto" w:fill="auto"/>
            <w:noWrap/>
            <w:hideMark/>
          </w:tcPr>
          <w:p w14:paraId="0831F2B9"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F39476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74E3A1"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64D6DBB" w14:textId="77777777" w:rsidR="008972C5" w:rsidRPr="005F7C3C" w:rsidRDefault="008972C5" w:rsidP="009B50B6">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3777B6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9C5B11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0270881" w14:textId="77777777" w:rsidR="008972C5" w:rsidRPr="005F7C3C" w:rsidRDefault="008972C5" w:rsidP="009B50B6">
            <w:pPr>
              <w:rPr>
                <w:rFonts w:ascii="Times New Roman" w:eastAsia="Times New Roman" w:hAnsi="Times New Roman" w:cs="Times New Roman"/>
              </w:rPr>
            </w:pPr>
          </w:p>
        </w:tc>
      </w:tr>
      <w:tr w:rsidR="008972C5" w:rsidRPr="005F7C3C" w14:paraId="62E7F15B" w14:textId="77777777" w:rsidTr="009B50B6">
        <w:trPr>
          <w:trHeight w:val="330"/>
        </w:trPr>
        <w:tc>
          <w:tcPr>
            <w:tcW w:w="0" w:type="auto"/>
            <w:tcBorders>
              <w:top w:val="nil"/>
              <w:left w:val="nil"/>
              <w:right w:val="nil"/>
            </w:tcBorders>
            <w:shd w:val="clear" w:color="auto" w:fill="auto"/>
            <w:noWrap/>
            <w:vAlign w:val="center"/>
            <w:hideMark/>
          </w:tcPr>
          <w:p w14:paraId="1A330457"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323A31E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18.19%</w:t>
            </w:r>
          </w:p>
        </w:tc>
        <w:tc>
          <w:tcPr>
            <w:tcW w:w="0" w:type="auto"/>
            <w:tcBorders>
              <w:top w:val="nil"/>
              <w:left w:val="nil"/>
              <w:right w:val="nil"/>
            </w:tcBorders>
            <w:shd w:val="clear" w:color="auto" w:fill="auto"/>
            <w:noWrap/>
            <w:vAlign w:val="bottom"/>
            <w:hideMark/>
          </w:tcPr>
          <w:p w14:paraId="7D9962E0"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0073242A" w14:textId="77777777" w:rsidR="008972C5" w:rsidRPr="005F7C3C" w:rsidRDefault="008972C5" w:rsidP="009B50B6">
            <w:pPr>
              <w:rPr>
                <w:rFonts w:ascii="Times New Roman" w:eastAsia="Times New Roman" w:hAnsi="Times New Roman" w:cs="Times New Roman"/>
              </w:rPr>
            </w:pPr>
          </w:p>
        </w:tc>
        <w:tc>
          <w:tcPr>
            <w:tcW w:w="0" w:type="auto"/>
            <w:tcBorders>
              <w:top w:val="nil"/>
              <w:left w:val="nil"/>
              <w:right w:val="nil"/>
            </w:tcBorders>
            <w:shd w:val="clear" w:color="auto" w:fill="auto"/>
            <w:noWrap/>
            <w:hideMark/>
          </w:tcPr>
          <w:p w14:paraId="5C3F0B3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15.12%</w:t>
            </w:r>
          </w:p>
        </w:tc>
        <w:tc>
          <w:tcPr>
            <w:tcW w:w="0" w:type="auto"/>
            <w:tcBorders>
              <w:top w:val="nil"/>
              <w:left w:val="nil"/>
              <w:right w:val="nil"/>
            </w:tcBorders>
            <w:shd w:val="clear" w:color="auto" w:fill="auto"/>
            <w:noWrap/>
            <w:vAlign w:val="bottom"/>
            <w:hideMark/>
          </w:tcPr>
          <w:p w14:paraId="799F14E6"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6F1BCE1" w14:textId="77777777" w:rsidR="008972C5" w:rsidRPr="005F7C3C" w:rsidRDefault="008972C5" w:rsidP="009B50B6">
            <w:pPr>
              <w:rPr>
                <w:rFonts w:ascii="Times New Roman" w:eastAsia="Times New Roman" w:hAnsi="Times New Roman" w:cs="Times New Roman"/>
              </w:rPr>
            </w:pPr>
          </w:p>
        </w:tc>
      </w:tr>
      <w:tr w:rsidR="008972C5" w:rsidRPr="005F7C3C" w14:paraId="217EFBC7" w14:textId="77777777" w:rsidTr="009B50B6">
        <w:trPr>
          <w:trHeight w:val="282"/>
        </w:trPr>
        <w:tc>
          <w:tcPr>
            <w:tcW w:w="0" w:type="auto"/>
            <w:tcBorders>
              <w:top w:val="nil"/>
              <w:left w:val="nil"/>
              <w:bottom w:val="single" w:sz="8" w:space="0" w:color="auto"/>
              <w:right w:val="nil"/>
            </w:tcBorders>
            <w:shd w:val="clear" w:color="auto" w:fill="auto"/>
            <w:noWrap/>
            <w:vAlign w:val="center"/>
            <w:hideMark/>
          </w:tcPr>
          <w:p w14:paraId="7723264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A80FD3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3,782 </w:t>
            </w:r>
          </w:p>
        </w:tc>
        <w:tc>
          <w:tcPr>
            <w:tcW w:w="0" w:type="auto"/>
            <w:tcBorders>
              <w:top w:val="nil"/>
              <w:left w:val="nil"/>
              <w:bottom w:val="single" w:sz="8" w:space="0" w:color="auto"/>
              <w:right w:val="nil"/>
            </w:tcBorders>
            <w:shd w:val="clear" w:color="auto" w:fill="auto"/>
            <w:noWrap/>
            <w:vAlign w:val="bottom"/>
            <w:hideMark/>
          </w:tcPr>
          <w:p w14:paraId="617EE51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5C27B9CF" w14:textId="77777777" w:rsidR="008972C5" w:rsidRPr="005F7C3C" w:rsidRDefault="008972C5" w:rsidP="009B50B6">
            <w:pPr>
              <w:rPr>
                <w:rFonts w:ascii="Times New Roman" w:eastAsia="Times New Roman" w:hAnsi="Times New Roman" w:cs="Times New Roman"/>
              </w:rPr>
            </w:pPr>
          </w:p>
        </w:tc>
        <w:tc>
          <w:tcPr>
            <w:tcW w:w="0" w:type="auto"/>
            <w:tcBorders>
              <w:top w:val="nil"/>
              <w:left w:val="nil"/>
              <w:bottom w:val="single" w:sz="8" w:space="0" w:color="auto"/>
              <w:right w:val="nil"/>
            </w:tcBorders>
            <w:shd w:val="clear" w:color="auto" w:fill="auto"/>
            <w:noWrap/>
            <w:hideMark/>
          </w:tcPr>
          <w:p w14:paraId="7B10303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7,273 </w:t>
            </w:r>
          </w:p>
        </w:tc>
        <w:tc>
          <w:tcPr>
            <w:tcW w:w="0" w:type="auto"/>
            <w:tcBorders>
              <w:top w:val="nil"/>
              <w:left w:val="nil"/>
              <w:bottom w:val="single" w:sz="8" w:space="0" w:color="auto"/>
              <w:right w:val="nil"/>
            </w:tcBorders>
            <w:shd w:val="clear" w:color="auto" w:fill="auto"/>
            <w:noWrap/>
            <w:vAlign w:val="bottom"/>
            <w:hideMark/>
          </w:tcPr>
          <w:p w14:paraId="371664A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712131C3" w14:textId="77777777" w:rsidR="008972C5" w:rsidRPr="005F7C3C" w:rsidRDefault="008972C5" w:rsidP="009B50B6">
            <w:pPr>
              <w:rPr>
                <w:rFonts w:ascii="Times New Roman" w:eastAsia="Times New Roman" w:hAnsi="Times New Roman" w:cs="Times New Roman"/>
              </w:rPr>
            </w:pPr>
          </w:p>
        </w:tc>
      </w:tr>
    </w:tbl>
    <w:p w14:paraId="1F8DD78A"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F927F3C" w14:textId="77777777" w:rsidR="008972C5" w:rsidRPr="005F7C3C" w:rsidRDefault="008972C5" w:rsidP="008972C5">
      <w:pPr>
        <w:ind w:left="45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A,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R&amp;D investments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i/>
          <w:color w:val="000000"/>
          <w:sz w:val="20"/>
        </w:rPr>
        <w:t>R&amp;D</w:t>
      </w:r>
      <w:r>
        <w:rPr>
          <w:rFonts w:ascii="Times New Roman" w:eastAsia="Times New Roman" w:hAnsi="Times New Roman" w:cs="Times New Roman"/>
          <w:bCs/>
          <w:color w:val="000000"/>
          <w:sz w:val="20"/>
        </w:rPr>
        <w:t xml:space="preserve"> is the firm research and development expenditure divided by total assets. </w:t>
      </w:r>
      <w:r w:rsidRPr="002D7B5C">
        <w:rPr>
          <w:rFonts w:ascii="Times New Roman" w:eastAsia="Times New Roman" w:hAnsi="Times New Roman" w:cs="Times New Roman"/>
          <w:bCs/>
          <w:color w:val="000000"/>
          <w:sz w:val="20"/>
        </w:rPr>
        <w:t xml:space="preserve">The ‘‘High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 xml:space="preserve">R&amp;D </w:t>
      </w:r>
      <w:r w:rsidRPr="002D7B5C">
        <w:rPr>
          <w:rFonts w:ascii="Times New Roman" w:eastAsia="Times New Roman" w:hAnsi="Times New Roman" w:cs="Times New Roman"/>
          <w:bCs/>
          <w:color w:val="000000"/>
          <w:sz w:val="20"/>
        </w:rPr>
        <w:t>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227D9D1" w14:textId="77777777" w:rsidR="008972C5" w:rsidRPr="002D7B5C" w:rsidRDefault="008972C5" w:rsidP="008972C5">
      <w:pPr>
        <w:autoSpaceDE w:val="0"/>
        <w:autoSpaceDN w:val="0"/>
        <w:adjustRightInd w:val="0"/>
        <w:ind w:left="540"/>
        <w:rPr>
          <w:rFonts w:ascii="Times New Roman" w:eastAsia="Times New Roman" w:hAnsi="Times New Roman" w:cs="Times New Roman"/>
          <w:bCs/>
          <w:color w:val="000000"/>
          <w:sz w:val="20"/>
        </w:rPr>
      </w:pPr>
    </w:p>
    <w:p w14:paraId="5DDC0988"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D6681B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408C3FF9"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F7F0726"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74238E3" w14:textId="42405306"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328D2E8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6D3E2D75"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562C17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38A5A61D"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Pr>
          <w:rFonts w:ascii="Times New Roman" w:eastAsia="Times New Roman" w:hAnsi="Times New Roman" w:cs="Times New Roman"/>
          <w:bCs/>
          <w:i/>
          <w:color w:val="000000"/>
          <w:sz w:val="24"/>
        </w:rPr>
        <w:t xml:space="preserve"> </w:t>
      </w:r>
      <w:r w:rsidRPr="002D7B5C">
        <w:rPr>
          <w:rFonts w:ascii="Times New Roman" w:eastAsia="Times New Roman" w:hAnsi="Times New Roman" w:cs="Times New Roman"/>
          <w:bCs/>
          <w:i/>
          <w:color w:val="000000"/>
          <w:sz w:val="24"/>
        </w:rPr>
        <w:t>Panel B: Growth Options and Information Environment</w:t>
      </w:r>
    </w:p>
    <w:tbl>
      <w:tblPr>
        <w:tblW w:w="8145" w:type="dxa"/>
        <w:jc w:val="center"/>
        <w:tblLook w:val="04A0" w:firstRow="1" w:lastRow="0" w:firstColumn="1" w:lastColumn="0" w:noHBand="0" w:noVBand="1"/>
      </w:tblPr>
      <w:tblGrid>
        <w:gridCol w:w="2500"/>
        <w:gridCol w:w="1280"/>
        <w:gridCol w:w="638"/>
        <w:gridCol w:w="960"/>
        <w:gridCol w:w="1280"/>
        <w:gridCol w:w="638"/>
        <w:gridCol w:w="849"/>
      </w:tblGrid>
      <w:tr w:rsidR="008972C5" w:rsidRPr="002D7B5C" w14:paraId="408A4B2C" w14:textId="77777777" w:rsidTr="009B50B6">
        <w:trPr>
          <w:trHeight w:val="288"/>
          <w:jc w:val="center"/>
        </w:trPr>
        <w:tc>
          <w:tcPr>
            <w:tcW w:w="0" w:type="auto"/>
            <w:tcBorders>
              <w:top w:val="single" w:sz="4" w:space="0" w:color="auto"/>
              <w:left w:val="nil"/>
              <w:bottom w:val="nil"/>
              <w:right w:val="nil"/>
            </w:tcBorders>
            <w:shd w:val="clear" w:color="auto" w:fill="auto"/>
            <w:noWrap/>
            <w:vAlign w:val="center"/>
            <w:hideMark/>
          </w:tcPr>
          <w:p w14:paraId="45E267DF" w14:textId="77777777" w:rsidR="008972C5" w:rsidRPr="002D7B5C" w:rsidRDefault="008972C5" w:rsidP="009B50B6">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19B7BED7"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3920F60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2A1C736D"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1472A36A" w14:textId="77777777" w:rsidR="008972C5" w:rsidRPr="002D7B5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0CF3D77A"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proofErr w:type="spellStart"/>
            <w:r w:rsidRPr="002D7B5C">
              <w:rPr>
                <w:rFonts w:ascii="Times New Roman" w:eastAsia="Times New Roman" w:hAnsi="Times New Roman" w:cs="Times New Roman"/>
                <w:b/>
                <w:bCs/>
                <w:i/>
                <w:iCs/>
                <w:color w:val="000000"/>
              </w:rPr>
              <w:t>TobinQ</w:t>
            </w:r>
            <w:proofErr w:type="spellEnd"/>
          </w:p>
        </w:tc>
        <w:tc>
          <w:tcPr>
            <w:tcW w:w="0" w:type="auto"/>
            <w:gridSpan w:val="3"/>
            <w:tcBorders>
              <w:top w:val="single" w:sz="4" w:space="0" w:color="auto"/>
              <w:left w:val="nil"/>
              <w:bottom w:val="nil"/>
              <w:right w:val="nil"/>
            </w:tcBorders>
            <w:shd w:val="clear" w:color="auto" w:fill="auto"/>
            <w:noWrap/>
            <w:vAlign w:val="bottom"/>
            <w:hideMark/>
          </w:tcPr>
          <w:p w14:paraId="019E1F1E" w14:textId="77777777" w:rsidR="008972C5" w:rsidRPr="002D7B5C" w:rsidRDefault="008972C5" w:rsidP="009B50B6">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w:t>
            </w:r>
            <w:proofErr w:type="spellStart"/>
            <w:r w:rsidRPr="002D7B5C">
              <w:rPr>
                <w:rFonts w:ascii="Times New Roman" w:eastAsia="Times New Roman" w:hAnsi="Times New Roman" w:cs="Times New Roman"/>
                <w:b/>
                <w:bCs/>
                <w:i/>
                <w:iCs/>
                <w:color w:val="000000"/>
              </w:rPr>
              <w:t>TobinQ</w:t>
            </w:r>
            <w:proofErr w:type="spellEnd"/>
          </w:p>
        </w:tc>
      </w:tr>
      <w:tr w:rsidR="008972C5" w:rsidRPr="002D7B5C" w14:paraId="43AC60B2"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2084F8EA" w14:textId="77777777" w:rsidR="008972C5" w:rsidRPr="002D7B5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84DDF98"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4E879D5A"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1AD731EA" w14:textId="77777777" w:rsidTr="009B50B6">
        <w:trPr>
          <w:trHeight w:val="288"/>
          <w:jc w:val="center"/>
        </w:trPr>
        <w:tc>
          <w:tcPr>
            <w:tcW w:w="0" w:type="auto"/>
            <w:tcBorders>
              <w:top w:val="nil"/>
              <w:left w:val="nil"/>
              <w:bottom w:val="single" w:sz="4" w:space="0" w:color="auto"/>
              <w:right w:val="nil"/>
            </w:tcBorders>
            <w:shd w:val="clear" w:color="auto" w:fill="auto"/>
            <w:noWrap/>
            <w:vAlign w:val="bottom"/>
            <w:hideMark/>
          </w:tcPr>
          <w:p w14:paraId="47066A79"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C2F8DA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75B315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0819EDD"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7B87B92"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B697079"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70CA307"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789EE3A9"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4CA2A6D6"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E74ED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0.2506</w:t>
            </w:r>
          </w:p>
        </w:tc>
        <w:tc>
          <w:tcPr>
            <w:tcW w:w="0" w:type="auto"/>
            <w:tcBorders>
              <w:top w:val="nil"/>
              <w:left w:val="nil"/>
              <w:bottom w:val="nil"/>
              <w:right w:val="nil"/>
            </w:tcBorders>
            <w:shd w:val="clear" w:color="auto" w:fill="auto"/>
            <w:noWrap/>
            <w:vAlign w:val="center"/>
            <w:hideMark/>
          </w:tcPr>
          <w:p w14:paraId="42C9361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2C3CD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0825BD1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1.4158</w:t>
            </w:r>
          </w:p>
        </w:tc>
        <w:tc>
          <w:tcPr>
            <w:tcW w:w="0" w:type="auto"/>
            <w:tcBorders>
              <w:top w:val="nil"/>
              <w:left w:val="nil"/>
              <w:bottom w:val="nil"/>
              <w:right w:val="nil"/>
            </w:tcBorders>
            <w:shd w:val="clear" w:color="auto" w:fill="auto"/>
            <w:noWrap/>
            <w:vAlign w:val="center"/>
            <w:hideMark/>
          </w:tcPr>
          <w:p w14:paraId="2AD4312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96DE96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(7.50)</w:t>
            </w:r>
          </w:p>
        </w:tc>
      </w:tr>
      <w:tr w:rsidR="008972C5" w:rsidRPr="002D7B5C" w14:paraId="02924E4F" w14:textId="77777777" w:rsidTr="009B50B6">
        <w:trPr>
          <w:trHeight w:val="288"/>
          <w:jc w:val="center"/>
        </w:trPr>
        <w:tc>
          <w:tcPr>
            <w:tcW w:w="0" w:type="auto"/>
            <w:tcBorders>
              <w:top w:val="nil"/>
              <w:left w:val="nil"/>
              <w:bottom w:val="nil"/>
              <w:right w:val="nil"/>
            </w:tcBorders>
            <w:shd w:val="clear" w:color="auto" w:fill="auto"/>
            <w:noWrap/>
            <w:hideMark/>
          </w:tcPr>
          <w:p w14:paraId="0290B7C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4E7A1B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0.0309</w:t>
            </w:r>
          </w:p>
        </w:tc>
        <w:tc>
          <w:tcPr>
            <w:tcW w:w="0" w:type="auto"/>
            <w:tcBorders>
              <w:top w:val="nil"/>
              <w:left w:val="nil"/>
              <w:bottom w:val="nil"/>
              <w:right w:val="nil"/>
            </w:tcBorders>
            <w:shd w:val="clear" w:color="auto" w:fill="auto"/>
            <w:noWrap/>
            <w:vAlign w:val="center"/>
            <w:hideMark/>
          </w:tcPr>
          <w:p w14:paraId="4533C17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912CA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756C374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-0.0366</w:t>
            </w:r>
          </w:p>
        </w:tc>
        <w:tc>
          <w:tcPr>
            <w:tcW w:w="0" w:type="auto"/>
            <w:tcBorders>
              <w:top w:val="nil"/>
              <w:left w:val="nil"/>
              <w:bottom w:val="nil"/>
              <w:right w:val="nil"/>
            </w:tcBorders>
            <w:shd w:val="clear" w:color="auto" w:fill="auto"/>
            <w:noWrap/>
            <w:vAlign w:val="center"/>
            <w:hideMark/>
          </w:tcPr>
          <w:p w14:paraId="5391627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7AD6E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(-0.31)</w:t>
            </w:r>
          </w:p>
        </w:tc>
      </w:tr>
      <w:tr w:rsidR="008972C5" w:rsidRPr="002D7B5C" w14:paraId="7EEE1538" w14:textId="77777777" w:rsidTr="009B50B6">
        <w:trPr>
          <w:trHeight w:val="288"/>
          <w:jc w:val="center"/>
        </w:trPr>
        <w:tc>
          <w:tcPr>
            <w:tcW w:w="0" w:type="auto"/>
            <w:tcBorders>
              <w:top w:val="nil"/>
              <w:left w:val="nil"/>
              <w:bottom w:val="nil"/>
              <w:right w:val="nil"/>
            </w:tcBorders>
            <w:shd w:val="clear" w:color="auto" w:fill="auto"/>
            <w:noWrap/>
            <w:hideMark/>
          </w:tcPr>
          <w:p w14:paraId="41D2D4A3"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503443F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-0.0122</w:t>
            </w:r>
          </w:p>
        </w:tc>
        <w:tc>
          <w:tcPr>
            <w:tcW w:w="0" w:type="auto"/>
            <w:tcBorders>
              <w:top w:val="nil"/>
              <w:left w:val="nil"/>
              <w:bottom w:val="nil"/>
              <w:right w:val="nil"/>
            </w:tcBorders>
            <w:shd w:val="clear" w:color="auto" w:fill="auto"/>
            <w:noWrap/>
            <w:vAlign w:val="center"/>
            <w:hideMark/>
          </w:tcPr>
          <w:p w14:paraId="001F2D0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0FFD8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B7EDC0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-0.0924</w:t>
            </w:r>
          </w:p>
        </w:tc>
        <w:tc>
          <w:tcPr>
            <w:tcW w:w="0" w:type="auto"/>
            <w:tcBorders>
              <w:top w:val="nil"/>
              <w:left w:val="nil"/>
              <w:bottom w:val="nil"/>
              <w:right w:val="nil"/>
            </w:tcBorders>
            <w:shd w:val="clear" w:color="auto" w:fill="auto"/>
            <w:noWrap/>
            <w:vAlign w:val="center"/>
            <w:hideMark/>
          </w:tcPr>
          <w:p w14:paraId="5CCC87B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7F124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(-1.23)</w:t>
            </w:r>
          </w:p>
        </w:tc>
      </w:tr>
      <w:tr w:rsidR="008972C5" w:rsidRPr="002D7B5C" w14:paraId="6E84FDE4" w14:textId="77777777" w:rsidTr="009B50B6">
        <w:trPr>
          <w:trHeight w:val="288"/>
          <w:jc w:val="center"/>
        </w:trPr>
        <w:tc>
          <w:tcPr>
            <w:tcW w:w="0" w:type="auto"/>
            <w:tcBorders>
              <w:top w:val="nil"/>
              <w:left w:val="nil"/>
              <w:bottom w:val="nil"/>
              <w:right w:val="nil"/>
            </w:tcBorders>
            <w:shd w:val="clear" w:color="auto" w:fill="auto"/>
            <w:noWrap/>
            <w:hideMark/>
          </w:tcPr>
          <w:p w14:paraId="0EB11236" w14:textId="77777777" w:rsidR="008972C5" w:rsidRPr="002D7B5C" w:rsidRDefault="008972C5" w:rsidP="009B50B6">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3A1467AD"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-0.1303</w:t>
            </w:r>
          </w:p>
        </w:tc>
        <w:tc>
          <w:tcPr>
            <w:tcW w:w="0" w:type="auto"/>
            <w:tcBorders>
              <w:top w:val="nil"/>
              <w:left w:val="nil"/>
              <w:bottom w:val="nil"/>
              <w:right w:val="nil"/>
            </w:tcBorders>
            <w:shd w:val="clear" w:color="auto" w:fill="auto"/>
            <w:noWrap/>
            <w:vAlign w:val="center"/>
            <w:hideMark/>
          </w:tcPr>
          <w:p w14:paraId="3BDA2B5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BBCA99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(-5.54)</w:t>
            </w:r>
          </w:p>
        </w:tc>
        <w:tc>
          <w:tcPr>
            <w:tcW w:w="0" w:type="auto"/>
            <w:tcBorders>
              <w:top w:val="nil"/>
              <w:left w:val="nil"/>
              <w:bottom w:val="nil"/>
              <w:right w:val="nil"/>
            </w:tcBorders>
            <w:shd w:val="clear" w:color="auto" w:fill="auto"/>
            <w:noWrap/>
            <w:hideMark/>
          </w:tcPr>
          <w:p w14:paraId="4FC3575B"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-0.1172</w:t>
            </w:r>
          </w:p>
        </w:tc>
        <w:tc>
          <w:tcPr>
            <w:tcW w:w="0" w:type="auto"/>
            <w:tcBorders>
              <w:top w:val="nil"/>
              <w:left w:val="nil"/>
              <w:bottom w:val="nil"/>
              <w:right w:val="nil"/>
            </w:tcBorders>
            <w:shd w:val="clear" w:color="auto" w:fill="auto"/>
            <w:noWrap/>
            <w:vAlign w:val="center"/>
            <w:hideMark/>
          </w:tcPr>
          <w:p w14:paraId="13FB12CE"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20D2D06"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(-1.70)</w:t>
            </w:r>
          </w:p>
        </w:tc>
      </w:tr>
      <w:tr w:rsidR="008972C5" w:rsidRPr="002D7B5C" w14:paraId="5FA208A9" w14:textId="77777777" w:rsidTr="009B50B6">
        <w:trPr>
          <w:trHeight w:val="288"/>
          <w:jc w:val="center"/>
        </w:trPr>
        <w:tc>
          <w:tcPr>
            <w:tcW w:w="0" w:type="auto"/>
            <w:tcBorders>
              <w:top w:val="nil"/>
              <w:left w:val="nil"/>
              <w:bottom w:val="nil"/>
              <w:right w:val="nil"/>
            </w:tcBorders>
            <w:shd w:val="clear" w:color="auto" w:fill="auto"/>
            <w:noWrap/>
            <w:hideMark/>
          </w:tcPr>
          <w:p w14:paraId="7F0D154D"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F7266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-0.1765</w:t>
            </w:r>
          </w:p>
        </w:tc>
        <w:tc>
          <w:tcPr>
            <w:tcW w:w="0" w:type="auto"/>
            <w:tcBorders>
              <w:top w:val="nil"/>
              <w:left w:val="nil"/>
              <w:bottom w:val="nil"/>
              <w:right w:val="nil"/>
            </w:tcBorders>
            <w:shd w:val="clear" w:color="auto" w:fill="auto"/>
            <w:noWrap/>
            <w:vAlign w:val="center"/>
            <w:hideMark/>
          </w:tcPr>
          <w:p w14:paraId="2B88375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3C1131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(-3.31)</w:t>
            </w:r>
          </w:p>
        </w:tc>
        <w:tc>
          <w:tcPr>
            <w:tcW w:w="0" w:type="auto"/>
            <w:tcBorders>
              <w:top w:val="nil"/>
              <w:left w:val="nil"/>
              <w:bottom w:val="nil"/>
              <w:right w:val="nil"/>
            </w:tcBorders>
            <w:shd w:val="clear" w:color="auto" w:fill="auto"/>
            <w:noWrap/>
            <w:hideMark/>
          </w:tcPr>
          <w:p w14:paraId="4105986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-0.1508</w:t>
            </w:r>
          </w:p>
        </w:tc>
        <w:tc>
          <w:tcPr>
            <w:tcW w:w="0" w:type="auto"/>
            <w:tcBorders>
              <w:top w:val="nil"/>
              <w:left w:val="nil"/>
              <w:bottom w:val="nil"/>
              <w:right w:val="nil"/>
            </w:tcBorders>
            <w:shd w:val="clear" w:color="auto" w:fill="auto"/>
            <w:noWrap/>
            <w:vAlign w:val="center"/>
            <w:hideMark/>
          </w:tcPr>
          <w:p w14:paraId="0EB4220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8A17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(-1.37)</w:t>
            </w:r>
          </w:p>
        </w:tc>
      </w:tr>
      <w:tr w:rsidR="008972C5" w:rsidRPr="002D7B5C" w14:paraId="76E577FD" w14:textId="77777777" w:rsidTr="009B50B6">
        <w:trPr>
          <w:trHeight w:val="288"/>
          <w:jc w:val="center"/>
        </w:trPr>
        <w:tc>
          <w:tcPr>
            <w:tcW w:w="0" w:type="auto"/>
            <w:tcBorders>
              <w:top w:val="nil"/>
              <w:left w:val="nil"/>
              <w:bottom w:val="nil"/>
              <w:right w:val="nil"/>
            </w:tcBorders>
            <w:shd w:val="clear" w:color="auto" w:fill="auto"/>
            <w:noWrap/>
            <w:hideMark/>
          </w:tcPr>
          <w:p w14:paraId="6633202C"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52661D9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0.0500</w:t>
            </w:r>
          </w:p>
        </w:tc>
        <w:tc>
          <w:tcPr>
            <w:tcW w:w="0" w:type="auto"/>
            <w:tcBorders>
              <w:top w:val="nil"/>
              <w:left w:val="nil"/>
              <w:bottom w:val="nil"/>
              <w:right w:val="nil"/>
            </w:tcBorders>
            <w:shd w:val="clear" w:color="auto" w:fill="auto"/>
            <w:noWrap/>
            <w:vAlign w:val="center"/>
            <w:hideMark/>
          </w:tcPr>
          <w:p w14:paraId="3289E90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BD436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(0.59)</w:t>
            </w:r>
          </w:p>
        </w:tc>
        <w:tc>
          <w:tcPr>
            <w:tcW w:w="0" w:type="auto"/>
            <w:tcBorders>
              <w:top w:val="nil"/>
              <w:left w:val="nil"/>
              <w:bottom w:val="nil"/>
              <w:right w:val="nil"/>
            </w:tcBorders>
            <w:shd w:val="clear" w:color="auto" w:fill="auto"/>
            <w:noWrap/>
            <w:hideMark/>
          </w:tcPr>
          <w:p w14:paraId="4ACE9C8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-0.4017</w:t>
            </w:r>
          </w:p>
        </w:tc>
        <w:tc>
          <w:tcPr>
            <w:tcW w:w="0" w:type="auto"/>
            <w:tcBorders>
              <w:top w:val="nil"/>
              <w:left w:val="nil"/>
              <w:bottom w:val="nil"/>
              <w:right w:val="nil"/>
            </w:tcBorders>
            <w:shd w:val="clear" w:color="auto" w:fill="auto"/>
            <w:noWrap/>
            <w:vAlign w:val="center"/>
            <w:hideMark/>
          </w:tcPr>
          <w:p w14:paraId="7358D5F7"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15518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(-2.02)</w:t>
            </w:r>
          </w:p>
        </w:tc>
      </w:tr>
      <w:tr w:rsidR="008972C5" w:rsidRPr="002D7B5C" w14:paraId="45CD268D" w14:textId="77777777" w:rsidTr="009B50B6">
        <w:trPr>
          <w:trHeight w:val="288"/>
          <w:jc w:val="center"/>
        </w:trPr>
        <w:tc>
          <w:tcPr>
            <w:tcW w:w="0" w:type="auto"/>
            <w:tcBorders>
              <w:top w:val="nil"/>
              <w:left w:val="nil"/>
              <w:bottom w:val="nil"/>
              <w:right w:val="nil"/>
            </w:tcBorders>
            <w:shd w:val="clear" w:color="auto" w:fill="auto"/>
            <w:noWrap/>
            <w:hideMark/>
          </w:tcPr>
          <w:p w14:paraId="5C391DD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163AC7E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813B9F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D30D4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56B14BF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0.1221</w:t>
            </w:r>
          </w:p>
        </w:tc>
        <w:tc>
          <w:tcPr>
            <w:tcW w:w="0" w:type="auto"/>
            <w:tcBorders>
              <w:top w:val="nil"/>
              <w:left w:val="nil"/>
              <w:bottom w:val="nil"/>
              <w:right w:val="nil"/>
            </w:tcBorders>
            <w:shd w:val="clear" w:color="auto" w:fill="auto"/>
            <w:noWrap/>
            <w:vAlign w:val="center"/>
            <w:hideMark/>
          </w:tcPr>
          <w:p w14:paraId="6ABCF1A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8FEEE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3F607D00" w14:textId="77777777" w:rsidTr="009B50B6">
        <w:trPr>
          <w:trHeight w:val="288"/>
          <w:jc w:val="center"/>
        </w:trPr>
        <w:tc>
          <w:tcPr>
            <w:tcW w:w="0" w:type="auto"/>
            <w:tcBorders>
              <w:top w:val="nil"/>
              <w:left w:val="nil"/>
              <w:bottom w:val="nil"/>
              <w:right w:val="nil"/>
            </w:tcBorders>
            <w:shd w:val="clear" w:color="auto" w:fill="auto"/>
            <w:noWrap/>
            <w:hideMark/>
          </w:tcPr>
          <w:p w14:paraId="6A4CDB3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2181DD3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-0.0344</w:t>
            </w:r>
          </w:p>
        </w:tc>
        <w:tc>
          <w:tcPr>
            <w:tcW w:w="0" w:type="auto"/>
            <w:tcBorders>
              <w:top w:val="nil"/>
              <w:left w:val="nil"/>
              <w:bottom w:val="nil"/>
              <w:right w:val="nil"/>
            </w:tcBorders>
            <w:shd w:val="clear" w:color="auto" w:fill="auto"/>
            <w:noWrap/>
            <w:vAlign w:val="center"/>
            <w:hideMark/>
          </w:tcPr>
          <w:p w14:paraId="0E0F53F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1579F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BF57C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53A5184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A0300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r>
      <w:tr w:rsidR="008972C5" w:rsidRPr="002D7B5C" w14:paraId="35432843" w14:textId="77777777" w:rsidTr="009B50B6">
        <w:trPr>
          <w:trHeight w:val="288"/>
          <w:jc w:val="center"/>
        </w:trPr>
        <w:tc>
          <w:tcPr>
            <w:tcW w:w="0" w:type="auto"/>
            <w:tcBorders>
              <w:top w:val="nil"/>
              <w:left w:val="nil"/>
              <w:bottom w:val="nil"/>
              <w:right w:val="nil"/>
            </w:tcBorders>
            <w:shd w:val="clear" w:color="auto" w:fill="auto"/>
            <w:noWrap/>
            <w:hideMark/>
          </w:tcPr>
          <w:p w14:paraId="73A842D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91903C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-0.1018</w:t>
            </w:r>
          </w:p>
        </w:tc>
        <w:tc>
          <w:tcPr>
            <w:tcW w:w="0" w:type="auto"/>
            <w:tcBorders>
              <w:top w:val="nil"/>
              <w:left w:val="nil"/>
              <w:bottom w:val="nil"/>
              <w:right w:val="nil"/>
            </w:tcBorders>
            <w:shd w:val="clear" w:color="auto" w:fill="auto"/>
            <w:noWrap/>
            <w:vAlign w:val="center"/>
            <w:hideMark/>
          </w:tcPr>
          <w:p w14:paraId="6FB2C2D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7E941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(-3.50)</w:t>
            </w:r>
          </w:p>
        </w:tc>
        <w:tc>
          <w:tcPr>
            <w:tcW w:w="0" w:type="auto"/>
            <w:tcBorders>
              <w:top w:val="nil"/>
              <w:left w:val="nil"/>
              <w:bottom w:val="nil"/>
              <w:right w:val="nil"/>
            </w:tcBorders>
            <w:shd w:val="clear" w:color="auto" w:fill="auto"/>
            <w:noWrap/>
            <w:hideMark/>
          </w:tcPr>
          <w:p w14:paraId="0A84352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0.1506</w:t>
            </w:r>
          </w:p>
        </w:tc>
        <w:tc>
          <w:tcPr>
            <w:tcW w:w="0" w:type="auto"/>
            <w:tcBorders>
              <w:top w:val="nil"/>
              <w:left w:val="nil"/>
              <w:bottom w:val="nil"/>
              <w:right w:val="nil"/>
            </w:tcBorders>
            <w:shd w:val="clear" w:color="auto" w:fill="auto"/>
            <w:noWrap/>
            <w:vAlign w:val="center"/>
            <w:hideMark/>
          </w:tcPr>
          <w:p w14:paraId="0CF81A3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11C1C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(1.70)</w:t>
            </w:r>
          </w:p>
        </w:tc>
      </w:tr>
      <w:tr w:rsidR="008972C5" w:rsidRPr="002D7B5C" w14:paraId="67E438AE" w14:textId="77777777" w:rsidTr="009B50B6">
        <w:trPr>
          <w:trHeight w:val="288"/>
          <w:jc w:val="center"/>
        </w:trPr>
        <w:tc>
          <w:tcPr>
            <w:tcW w:w="0" w:type="auto"/>
            <w:tcBorders>
              <w:top w:val="nil"/>
              <w:left w:val="nil"/>
              <w:bottom w:val="nil"/>
              <w:right w:val="nil"/>
            </w:tcBorders>
            <w:shd w:val="clear" w:color="auto" w:fill="auto"/>
            <w:noWrap/>
            <w:hideMark/>
          </w:tcPr>
          <w:p w14:paraId="6C6C64A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155F7F5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0.0953</w:t>
            </w:r>
          </w:p>
        </w:tc>
        <w:tc>
          <w:tcPr>
            <w:tcW w:w="0" w:type="auto"/>
            <w:tcBorders>
              <w:top w:val="nil"/>
              <w:left w:val="nil"/>
              <w:bottom w:val="nil"/>
              <w:right w:val="nil"/>
            </w:tcBorders>
            <w:shd w:val="clear" w:color="auto" w:fill="auto"/>
            <w:noWrap/>
            <w:vAlign w:val="center"/>
            <w:hideMark/>
          </w:tcPr>
          <w:p w14:paraId="0BA4161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EFB3F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76D7D52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-0.2878</w:t>
            </w:r>
          </w:p>
        </w:tc>
        <w:tc>
          <w:tcPr>
            <w:tcW w:w="0" w:type="auto"/>
            <w:tcBorders>
              <w:top w:val="nil"/>
              <w:left w:val="nil"/>
              <w:bottom w:val="nil"/>
              <w:right w:val="nil"/>
            </w:tcBorders>
            <w:shd w:val="clear" w:color="auto" w:fill="auto"/>
            <w:noWrap/>
            <w:vAlign w:val="center"/>
            <w:hideMark/>
          </w:tcPr>
          <w:p w14:paraId="5118615A"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F5B98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r>
      <w:tr w:rsidR="008972C5" w:rsidRPr="002D7B5C" w14:paraId="01DC0CFD" w14:textId="77777777" w:rsidTr="009B50B6">
        <w:trPr>
          <w:trHeight w:val="288"/>
          <w:jc w:val="center"/>
        </w:trPr>
        <w:tc>
          <w:tcPr>
            <w:tcW w:w="0" w:type="auto"/>
            <w:tcBorders>
              <w:top w:val="nil"/>
              <w:left w:val="nil"/>
              <w:bottom w:val="nil"/>
              <w:right w:val="nil"/>
            </w:tcBorders>
            <w:shd w:val="clear" w:color="auto" w:fill="auto"/>
            <w:noWrap/>
            <w:hideMark/>
          </w:tcPr>
          <w:p w14:paraId="395F59E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1A07F17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0.0180</w:t>
            </w:r>
          </w:p>
        </w:tc>
        <w:tc>
          <w:tcPr>
            <w:tcW w:w="0" w:type="auto"/>
            <w:tcBorders>
              <w:top w:val="nil"/>
              <w:left w:val="nil"/>
              <w:bottom w:val="nil"/>
              <w:right w:val="nil"/>
            </w:tcBorders>
            <w:shd w:val="clear" w:color="auto" w:fill="auto"/>
            <w:noWrap/>
            <w:vAlign w:val="center"/>
            <w:hideMark/>
          </w:tcPr>
          <w:p w14:paraId="3DC65AB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91D53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w:t>
            </w:r>
          </w:p>
        </w:tc>
        <w:tc>
          <w:tcPr>
            <w:tcW w:w="0" w:type="auto"/>
            <w:tcBorders>
              <w:top w:val="nil"/>
              <w:left w:val="nil"/>
              <w:bottom w:val="nil"/>
              <w:right w:val="nil"/>
            </w:tcBorders>
            <w:shd w:val="clear" w:color="auto" w:fill="auto"/>
            <w:noWrap/>
            <w:hideMark/>
          </w:tcPr>
          <w:p w14:paraId="5EADC9E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0.1553</w:t>
            </w:r>
          </w:p>
        </w:tc>
        <w:tc>
          <w:tcPr>
            <w:tcW w:w="0" w:type="auto"/>
            <w:tcBorders>
              <w:top w:val="nil"/>
              <w:left w:val="nil"/>
              <w:bottom w:val="nil"/>
              <w:right w:val="nil"/>
            </w:tcBorders>
            <w:shd w:val="clear" w:color="auto" w:fill="auto"/>
            <w:noWrap/>
            <w:vAlign w:val="center"/>
            <w:hideMark/>
          </w:tcPr>
          <w:p w14:paraId="4C27161B"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87E15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54289091" w14:textId="77777777" w:rsidTr="009B50B6">
        <w:trPr>
          <w:trHeight w:val="288"/>
          <w:jc w:val="center"/>
        </w:trPr>
        <w:tc>
          <w:tcPr>
            <w:tcW w:w="0" w:type="auto"/>
            <w:tcBorders>
              <w:top w:val="nil"/>
              <w:left w:val="nil"/>
              <w:bottom w:val="nil"/>
              <w:right w:val="nil"/>
            </w:tcBorders>
            <w:shd w:val="clear" w:color="auto" w:fill="auto"/>
            <w:noWrap/>
            <w:hideMark/>
          </w:tcPr>
          <w:p w14:paraId="71EB0599"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042A78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0.0700</w:t>
            </w:r>
          </w:p>
        </w:tc>
        <w:tc>
          <w:tcPr>
            <w:tcW w:w="0" w:type="auto"/>
            <w:tcBorders>
              <w:top w:val="nil"/>
              <w:left w:val="nil"/>
              <w:bottom w:val="nil"/>
              <w:right w:val="nil"/>
            </w:tcBorders>
            <w:shd w:val="clear" w:color="auto" w:fill="auto"/>
            <w:noWrap/>
            <w:vAlign w:val="center"/>
            <w:hideMark/>
          </w:tcPr>
          <w:p w14:paraId="7822F5C8"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3BFBE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483ADB4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14FA117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7D26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4A76B2A4" w14:textId="77777777" w:rsidTr="009B50B6">
        <w:trPr>
          <w:trHeight w:val="288"/>
          <w:jc w:val="center"/>
        </w:trPr>
        <w:tc>
          <w:tcPr>
            <w:tcW w:w="0" w:type="auto"/>
            <w:tcBorders>
              <w:top w:val="nil"/>
              <w:left w:val="nil"/>
              <w:bottom w:val="nil"/>
              <w:right w:val="nil"/>
            </w:tcBorders>
            <w:shd w:val="clear" w:color="auto" w:fill="auto"/>
            <w:noWrap/>
            <w:hideMark/>
          </w:tcPr>
          <w:p w14:paraId="333EE31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E9AD0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-0.0951</w:t>
            </w:r>
          </w:p>
        </w:tc>
        <w:tc>
          <w:tcPr>
            <w:tcW w:w="0" w:type="auto"/>
            <w:tcBorders>
              <w:top w:val="nil"/>
              <w:left w:val="nil"/>
              <w:bottom w:val="nil"/>
              <w:right w:val="nil"/>
            </w:tcBorders>
            <w:shd w:val="clear" w:color="auto" w:fill="auto"/>
            <w:noWrap/>
            <w:vAlign w:val="center"/>
            <w:hideMark/>
          </w:tcPr>
          <w:p w14:paraId="642D909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10DE5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c>
          <w:tcPr>
            <w:tcW w:w="0" w:type="auto"/>
            <w:tcBorders>
              <w:top w:val="nil"/>
              <w:left w:val="nil"/>
              <w:bottom w:val="nil"/>
              <w:right w:val="nil"/>
            </w:tcBorders>
            <w:shd w:val="clear" w:color="auto" w:fill="auto"/>
            <w:noWrap/>
            <w:hideMark/>
          </w:tcPr>
          <w:p w14:paraId="792DFE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-0.0654</w:t>
            </w:r>
          </w:p>
        </w:tc>
        <w:tc>
          <w:tcPr>
            <w:tcW w:w="0" w:type="auto"/>
            <w:tcBorders>
              <w:top w:val="nil"/>
              <w:left w:val="nil"/>
              <w:bottom w:val="nil"/>
              <w:right w:val="nil"/>
            </w:tcBorders>
            <w:shd w:val="clear" w:color="auto" w:fill="auto"/>
            <w:noWrap/>
            <w:vAlign w:val="center"/>
            <w:hideMark/>
          </w:tcPr>
          <w:p w14:paraId="74877BF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AC564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5ECDBD91" w14:textId="77777777" w:rsidTr="009B50B6">
        <w:trPr>
          <w:trHeight w:val="288"/>
          <w:jc w:val="center"/>
        </w:trPr>
        <w:tc>
          <w:tcPr>
            <w:tcW w:w="0" w:type="auto"/>
            <w:tcBorders>
              <w:top w:val="nil"/>
              <w:left w:val="nil"/>
              <w:bottom w:val="nil"/>
              <w:right w:val="nil"/>
            </w:tcBorders>
            <w:shd w:val="clear" w:color="auto" w:fill="auto"/>
            <w:noWrap/>
            <w:hideMark/>
          </w:tcPr>
          <w:p w14:paraId="46B0170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C70D63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-0.4592</w:t>
            </w:r>
          </w:p>
        </w:tc>
        <w:tc>
          <w:tcPr>
            <w:tcW w:w="0" w:type="auto"/>
            <w:tcBorders>
              <w:top w:val="nil"/>
              <w:left w:val="nil"/>
              <w:bottom w:val="nil"/>
              <w:right w:val="nil"/>
            </w:tcBorders>
            <w:shd w:val="clear" w:color="auto" w:fill="auto"/>
            <w:noWrap/>
            <w:vAlign w:val="center"/>
            <w:hideMark/>
          </w:tcPr>
          <w:p w14:paraId="3FD5DD6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9CB7A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(-6.77)</w:t>
            </w:r>
          </w:p>
        </w:tc>
        <w:tc>
          <w:tcPr>
            <w:tcW w:w="0" w:type="auto"/>
            <w:tcBorders>
              <w:top w:val="nil"/>
              <w:left w:val="nil"/>
              <w:bottom w:val="nil"/>
              <w:right w:val="nil"/>
            </w:tcBorders>
            <w:shd w:val="clear" w:color="auto" w:fill="auto"/>
            <w:noWrap/>
            <w:hideMark/>
          </w:tcPr>
          <w:p w14:paraId="393F453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-0.2127</w:t>
            </w:r>
          </w:p>
        </w:tc>
        <w:tc>
          <w:tcPr>
            <w:tcW w:w="0" w:type="auto"/>
            <w:tcBorders>
              <w:top w:val="nil"/>
              <w:left w:val="nil"/>
              <w:bottom w:val="nil"/>
              <w:right w:val="nil"/>
            </w:tcBorders>
            <w:shd w:val="clear" w:color="auto" w:fill="auto"/>
            <w:noWrap/>
            <w:vAlign w:val="center"/>
            <w:hideMark/>
          </w:tcPr>
          <w:p w14:paraId="4B4EE88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3B80E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(-2.89)</w:t>
            </w:r>
          </w:p>
        </w:tc>
      </w:tr>
      <w:tr w:rsidR="008972C5" w:rsidRPr="002D7B5C" w14:paraId="5C74EF92" w14:textId="77777777" w:rsidTr="009B50B6">
        <w:trPr>
          <w:trHeight w:val="288"/>
          <w:jc w:val="center"/>
        </w:trPr>
        <w:tc>
          <w:tcPr>
            <w:tcW w:w="0" w:type="auto"/>
            <w:tcBorders>
              <w:top w:val="nil"/>
              <w:left w:val="nil"/>
              <w:bottom w:val="nil"/>
              <w:right w:val="nil"/>
            </w:tcBorders>
            <w:shd w:val="clear" w:color="auto" w:fill="auto"/>
            <w:noWrap/>
            <w:hideMark/>
          </w:tcPr>
          <w:p w14:paraId="15EE49B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718F4D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0.0246</w:t>
            </w:r>
          </w:p>
        </w:tc>
        <w:tc>
          <w:tcPr>
            <w:tcW w:w="0" w:type="auto"/>
            <w:tcBorders>
              <w:top w:val="nil"/>
              <w:left w:val="nil"/>
              <w:bottom w:val="nil"/>
              <w:right w:val="nil"/>
            </w:tcBorders>
            <w:shd w:val="clear" w:color="auto" w:fill="auto"/>
            <w:noWrap/>
            <w:vAlign w:val="center"/>
            <w:hideMark/>
          </w:tcPr>
          <w:p w14:paraId="219EB9B2"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46A03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6D7DC49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-0.1330</w:t>
            </w:r>
          </w:p>
        </w:tc>
        <w:tc>
          <w:tcPr>
            <w:tcW w:w="0" w:type="auto"/>
            <w:tcBorders>
              <w:top w:val="nil"/>
              <w:left w:val="nil"/>
              <w:bottom w:val="nil"/>
              <w:right w:val="nil"/>
            </w:tcBorders>
            <w:shd w:val="clear" w:color="auto" w:fill="auto"/>
            <w:noWrap/>
            <w:vAlign w:val="center"/>
            <w:hideMark/>
          </w:tcPr>
          <w:p w14:paraId="0CEC71F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DCA36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r>
      <w:tr w:rsidR="008972C5" w:rsidRPr="002D7B5C" w14:paraId="0860C255"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D178F6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5BE43FD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-0.0339</w:t>
            </w:r>
          </w:p>
        </w:tc>
        <w:tc>
          <w:tcPr>
            <w:tcW w:w="0" w:type="auto"/>
            <w:tcBorders>
              <w:top w:val="nil"/>
              <w:left w:val="nil"/>
              <w:bottom w:val="nil"/>
              <w:right w:val="nil"/>
            </w:tcBorders>
            <w:shd w:val="clear" w:color="auto" w:fill="auto"/>
            <w:noWrap/>
            <w:vAlign w:val="center"/>
            <w:hideMark/>
          </w:tcPr>
          <w:p w14:paraId="5E71555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CE40D0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13D57DC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0046C47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AB64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23F50FE4"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30BD94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89B14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0636E4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89902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w:t>
            </w:r>
          </w:p>
        </w:tc>
        <w:tc>
          <w:tcPr>
            <w:tcW w:w="0" w:type="auto"/>
            <w:tcBorders>
              <w:top w:val="nil"/>
              <w:left w:val="nil"/>
              <w:bottom w:val="nil"/>
              <w:right w:val="nil"/>
            </w:tcBorders>
            <w:shd w:val="clear" w:color="auto" w:fill="auto"/>
            <w:noWrap/>
            <w:hideMark/>
          </w:tcPr>
          <w:p w14:paraId="056BE83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-0.0329</w:t>
            </w:r>
          </w:p>
        </w:tc>
        <w:tc>
          <w:tcPr>
            <w:tcW w:w="0" w:type="auto"/>
            <w:tcBorders>
              <w:top w:val="nil"/>
              <w:left w:val="nil"/>
              <w:bottom w:val="nil"/>
              <w:right w:val="nil"/>
            </w:tcBorders>
            <w:shd w:val="clear" w:color="auto" w:fill="auto"/>
            <w:noWrap/>
            <w:vAlign w:val="center"/>
            <w:hideMark/>
          </w:tcPr>
          <w:p w14:paraId="17B904E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FD50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w:t>
            </w:r>
          </w:p>
        </w:tc>
      </w:tr>
      <w:tr w:rsidR="008972C5" w:rsidRPr="002D7B5C" w14:paraId="73C5DE7F"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B6F596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49C5610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0.0326</w:t>
            </w:r>
          </w:p>
        </w:tc>
        <w:tc>
          <w:tcPr>
            <w:tcW w:w="0" w:type="auto"/>
            <w:tcBorders>
              <w:top w:val="nil"/>
              <w:left w:val="nil"/>
              <w:bottom w:val="nil"/>
              <w:right w:val="nil"/>
            </w:tcBorders>
            <w:shd w:val="clear" w:color="auto" w:fill="auto"/>
            <w:noWrap/>
            <w:vAlign w:val="center"/>
            <w:hideMark/>
          </w:tcPr>
          <w:p w14:paraId="3428A54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5A98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(1.34)</w:t>
            </w:r>
          </w:p>
        </w:tc>
        <w:tc>
          <w:tcPr>
            <w:tcW w:w="0" w:type="auto"/>
            <w:tcBorders>
              <w:top w:val="nil"/>
              <w:left w:val="nil"/>
              <w:bottom w:val="nil"/>
              <w:right w:val="nil"/>
            </w:tcBorders>
            <w:shd w:val="clear" w:color="auto" w:fill="auto"/>
            <w:noWrap/>
            <w:hideMark/>
          </w:tcPr>
          <w:p w14:paraId="2C86ED3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-0.0812</w:t>
            </w:r>
          </w:p>
        </w:tc>
        <w:tc>
          <w:tcPr>
            <w:tcW w:w="0" w:type="auto"/>
            <w:tcBorders>
              <w:top w:val="nil"/>
              <w:left w:val="nil"/>
              <w:bottom w:val="nil"/>
              <w:right w:val="nil"/>
            </w:tcBorders>
            <w:shd w:val="clear" w:color="auto" w:fill="auto"/>
            <w:noWrap/>
            <w:vAlign w:val="center"/>
            <w:hideMark/>
          </w:tcPr>
          <w:p w14:paraId="4F47BC1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08698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(-1.02)</w:t>
            </w:r>
          </w:p>
        </w:tc>
      </w:tr>
      <w:tr w:rsidR="008972C5" w:rsidRPr="002D7B5C" w14:paraId="33D49D6A"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8F5A8A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3539B2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-0.0649</w:t>
            </w:r>
          </w:p>
        </w:tc>
        <w:tc>
          <w:tcPr>
            <w:tcW w:w="0" w:type="auto"/>
            <w:tcBorders>
              <w:top w:val="nil"/>
              <w:left w:val="nil"/>
              <w:bottom w:val="nil"/>
              <w:right w:val="nil"/>
            </w:tcBorders>
            <w:shd w:val="clear" w:color="auto" w:fill="auto"/>
            <w:noWrap/>
            <w:vAlign w:val="center"/>
            <w:hideMark/>
          </w:tcPr>
          <w:p w14:paraId="49751A5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8135C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(-1.38)</w:t>
            </w:r>
          </w:p>
        </w:tc>
        <w:tc>
          <w:tcPr>
            <w:tcW w:w="0" w:type="auto"/>
            <w:tcBorders>
              <w:top w:val="nil"/>
              <w:left w:val="nil"/>
              <w:bottom w:val="nil"/>
              <w:right w:val="nil"/>
            </w:tcBorders>
            <w:shd w:val="clear" w:color="auto" w:fill="auto"/>
            <w:noWrap/>
            <w:hideMark/>
          </w:tcPr>
          <w:p w14:paraId="73F904E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0.0788</w:t>
            </w:r>
          </w:p>
        </w:tc>
        <w:tc>
          <w:tcPr>
            <w:tcW w:w="0" w:type="auto"/>
            <w:tcBorders>
              <w:top w:val="nil"/>
              <w:left w:val="nil"/>
              <w:bottom w:val="nil"/>
              <w:right w:val="nil"/>
            </w:tcBorders>
            <w:shd w:val="clear" w:color="auto" w:fill="auto"/>
            <w:noWrap/>
            <w:vAlign w:val="center"/>
            <w:hideMark/>
          </w:tcPr>
          <w:p w14:paraId="333D3A0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7F5F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(0.58)</w:t>
            </w:r>
          </w:p>
        </w:tc>
      </w:tr>
      <w:tr w:rsidR="008972C5" w:rsidRPr="002D7B5C" w14:paraId="233025A9" w14:textId="77777777" w:rsidTr="009B50B6">
        <w:trPr>
          <w:trHeight w:val="288"/>
          <w:jc w:val="center"/>
        </w:trPr>
        <w:tc>
          <w:tcPr>
            <w:tcW w:w="0" w:type="auto"/>
            <w:tcBorders>
              <w:top w:val="nil"/>
              <w:left w:val="nil"/>
              <w:bottom w:val="nil"/>
              <w:right w:val="nil"/>
            </w:tcBorders>
            <w:shd w:val="clear" w:color="auto" w:fill="auto"/>
            <w:noWrap/>
            <w:hideMark/>
          </w:tcPr>
          <w:p w14:paraId="7EA7AF50"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1FD9F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-0.0780</w:t>
            </w:r>
          </w:p>
        </w:tc>
        <w:tc>
          <w:tcPr>
            <w:tcW w:w="0" w:type="auto"/>
            <w:tcBorders>
              <w:top w:val="nil"/>
              <w:left w:val="nil"/>
              <w:bottom w:val="nil"/>
              <w:right w:val="nil"/>
            </w:tcBorders>
            <w:shd w:val="clear" w:color="auto" w:fill="auto"/>
            <w:noWrap/>
            <w:vAlign w:val="center"/>
            <w:hideMark/>
          </w:tcPr>
          <w:p w14:paraId="79CA98E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5882B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(-2.52)</w:t>
            </w:r>
          </w:p>
        </w:tc>
        <w:tc>
          <w:tcPr>
            <w:tcW w:w="0" w:type="auto"/>
            <w:tcBorders>
              <w:top w:val="nil"/>
              <w:left w:val="nil"/>
              <w:bottom w:val="nil"/>
              <w:right w:val="nil"/>
            </w:tcBorders>
            <w:shd w:val="clear" w:color="auto" w:fill="auto"/>
            <w:noWrap/>
            <w:hideMark/>
          </w:tcPr>
          <w:p w14:paraId="1A9BFBF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-0.1159</w:t>
            </w:r>
          </w:p>
        </w:tc>
        <w:tc>
          <w:tcPr>
            <w:tcW w:w="0" w:type="auto"/>
            <w:tcBorders>
              <w:top w:val="nil"/>
              <w:left w:val="nil"/>
              <w:bottom w:val="nil"/>
              <w:right w:val="nil"/>
            </w:tcBorders>
            <w:shd w:val="clear" w:color="auto" w:fill="auto"/>
            <w:noWrap/>
            <w:vAlign w:val="center"/>
            <w:hideMark/>
          </w:tcPr>
          <w:p w14:paraId="6D1D862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B036B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(-1.40)</w:t>
            </w:r>
          </w:p>
        </w:tc>
      </w:tr>
      <w:tr w:rsidR="008972C5" w:rsidRPr="002D7B5C" w14:paraId="42BF4BB4" w14:textId="77777777" w:rsidTr="009B50B6">
        <w:trPr>
          <w:trHeight w:val="288"/>
          <w:jc w:val="center"/>
        </w:trPr>
        <w:tc>
          <w:tcPr>
            <w:tcW w:w="0" w:type="auto"/>
            <w:tcBorders>
              <w:top w:val="nil"/>
              <w:left w:val="nil"/>
              <w:bottom w:val="single" w:sz="4" w:space="0" w:color="auto"/>
              <w:right w:val="nil"/>
            </w:tcBorders>
            <w:shd w:val="clear" w:color="auto" w:fill="auto"/>
            <w:noWrap/>
            <w:vAlign w:val="center"/>
            <w:hideMark/>
          </w:tcPr>
          <w:p w14:paraId="09217EB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65060BE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0.0503</w:t>
            </w:r>
          </w:p>
        </w:tc>
        <w:tc>
          <w:tcPr>
            <w:tcW w:w="0" w:type="auto"/>
            <w:tcBorders>
              <w:top w:val="nil"/>
              <w:left w:val="nil"/>
              <w:bottom w:val="single" w:sz="4" w:space="0" w:color="auto"/>
              <w:right w:val="nil"/>
            </w:tcBorders>
            <w:shd w:val="clear" w:color="auto" w:fill="auto"/>
            <w:noWrap/>
            <w:vAlign w:val="center"/>
            <w:hideMark/>
          </w:tcPr>
          <w:p w14:paraId="3403F20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6684D6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single" w:sz="4" w:space="0" w:color="auto"/>
              <w:right w:val="nil"/>
            </w:tcBorders>
            <w:shd w:val="clear" w:color="auto" w:fill="auto"/>
            <w:noWrap/>
            <w:hideMark/>
          </w:tcPr>
          <w:p w14:paraId="3A6E735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0.2109</w:t>
            </w:r>
          </w:p>
        </w:tc>
        <w:tc>
          <w:tcPr>
            <w:tcW w:w="0" w:type="auto"/>
            <w:tcBorders>
              <w:top w:val="nil"/>
              <w:left w:val="nil"/>
              <w:bottom w:val="single" w:sz="4" w:space="0" w:color="auto"/>
              <w:right w:val="nil"/>
            </w:tcBorders>
            <w:shd w:val="clear" w:color="auto" w:fill="auto"/>
            <w:noWrap/>
            <w:vAlign w:val="center"/>
            <w:hideMark/>
          </w:tcPr>
          <w:p w14:paraId="3A4B7AF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B83B1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(1.57)</w:t>
            </w:r>
          </w:p>
        </w:tc>
      </w:tr>
      <w:tr w:rsidR="008972C5" w:rsidRPr="002D7B5C" w14:paraId="06AC7FFF" w14:textId="77777777" w:rsidTr="009B50B6">
        <w:trPr>
          <w:trHeight w:val="288"/>
          <w:jc w:val="center"/>
        </w:trPr>
        <w:tc>
          <w:tcPr>
            <w:tcW w:w="0" w:type="auto"/>
            <w:tcBorders>
              <w:top w:val="nil"/>
              <w:left w:val="nil"/>
              <w:bottom w:val="nil"/>
              <w:right w:val="nil"/>
            </w:tcBorders>
            <w:shd w:val="clear" w:color="auto" w:fill="auto"/>
            <w:noWrap/>
            <w:hideMark/>
          </w:tcPr>
          <w:p w14:paraId="3FC7FF59"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69BD3B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152FC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D5BBBA"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88FCCC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AEB71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B2E949"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19FDCB68" w14:textId="77777777" w:rsidTr="009B50B6">
        <w:trPr>
          <w:trHeight w:val="330"/>
          <w:jc w:val="center"/>
        </w:trPr>
        <w:tc>
          <w:tcPr>
            <w:tcW w:w="0" w:type="auto"/>
            <w:tcBorders>
              <w:top w:val="nil"/>
              <w:left w:val="nil"/>
              <w:right w:val="nil"/>
            </w:tcBorders>
            <w:shd w:val="clear" w:color="auto" w:fill="auto"/>
            <w:noWrap/>
            <w:vAlign w:val="center"/>
            <w:hideMark/>
          </w:tcPr>
          <w:p w14:paraId="22B7116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6422BBD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18.25%</w:t>
            </w:r>
          </w:p>
        </w:tc>
        <w:tc>
          <w:tcPr>
            <w:tcW w:w="0" w:type="auto"/>
            <w:tcBorders>
              <w:top w:val="nil"/>
              <w:left w:val="nil"/>
              <w:right w:val="nil"/>
            </w:tcBorders>
            <w:shd w:val="clear" w:color="auto" w:fill="auto"/>
            <w:noWrap/>
            <w:vAlign w:val="bottom"/>
            <w:hideMark/>
          </w:tcPr>
          <w:p w14:paraId="238CD56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CE400B9"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right w:val="nil"/>
            </w:tcBorders>
            <w:shd w:val="clear" w:color="auto" w:fill="auto"/>
            <w:noWrap/>
            <w:hideMark/>
          </w:tcPr>
          <w:p w14:paraId="01FCA26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13.53%</w:t>
            </w:r>
          </w:p>
        </w:tc>
        <w:tc>
          <w:tcPr>
            <w:tcW w:w="0" w:type="auto"/>
            <w:tcBorders>
              <w:top w:val="nil"/>
              <w:left w:val="nil"/>
              <w:right w:val="nil"/>
            </w:tcBorders>
            <w:shd w:val="clear" w:color="auto" w:fill="auto"/>
            <w:noWrap/>
            <w:vAlign w:val="bottom"/>
            <w:hideMark/>
          </w:tcPr>
          <w:p w14:paraId="53EF4A8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1E0AA8E3"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482893F3" w14:textId="77777777" w:rsidTr="009B50B6">
        <w:trPr>
          <w:trHeight w:val="294"/>
          <w:jc w:val="center"/>
        </w:trPr>
        <w:tc>
          <w:tcPr>
            <w:tcW w:w="0" w:type="auto"/>
            <w:tcBorders>
              <w:top w:val="nil"/>
              <w:left w:val="nil"/>
              <w:bottom w:val="single" w:sz="8" w:space="0" w:color="auto"/>
              <w:right w:val="nil"/>
            </w:tcBorders>
            <w:shd w:val="clear" w:color="auto" w:fill="auto"/>
            <w:noWrap/>
            <w:vAlign w:val="center"/>
            <w:hideMark/>
          </w:tcPr>
          <w:p w14:paraId="38711E70"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66A9775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3,722 </w:t>
            </w:r>
          </w:p>
        </w:tc>
        <w:tc>
          <w:tcPr>
            <w:tcW w:w="0" w:type="auto"/>
            <w:tcBorders>
              <w:top w:val="nil"/>
              <w:left w:val="nil"/>
              <w:bottom w:val="single" w:sz="8" w:space="0" w:color="auto"/>
              <w:right w:val="nil"/>
            </w:tcBorders>
            <w:shd w:val="clear" w:color="auto" w:fill="auto"/>
            <w:noWrap/>
            <w:vAlign w:val="bottom"/>
            <w:hideMark/>
          </w:tcPr>
          <w:p w14:paraId="0E55325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578B0E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2279FC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3,777 </w:t>
            </w:r>
          </w:p>
        </w:tc>
        <w:tc>
          <w:tcPr>
            <w:tcW w:w="0" w:type="auto"/>
            <w:tcBorders>
              <w:top w:val="nil"/>
              <w:left w:val="nil"/>
              <w:bottom w:val="single" w:sz="8" w:space="0" w:color="auto"/>
              <w:right w:val="nil"/>
            </w:tcBorders>
            <w:shd w:val="clear" w:color="auto" w:fill="auto"/>
            <w:noWrap/>
            <w:vAlign w:val="bottom"/>
            <w:hideMark/>
          </w:tcPr>
          <w:p w14:paraId="352A6E7D"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7DD844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434FD335" w14:textId="72A37434" w:rsidR="008972C5" w:rsidRDefault="008972C5" w:rsidP="00A113D1">
      <w:pPr>
        <w:ind w:left="540"/>
        <w:rPr>
          <w:rFonts w:ascii="Times New Roman" w:eastAsia="Times New Roman" w:hAnsi="Times New Roman" w:cs="Times New Roman"/>
          <w:b/>
          <w:bCs/>
          <w:color w:val="000000"/>
          <w:sz w:val="24"/>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B</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growth options</w:t>
      </w:r>
      <w:r w:rsidRPr="002D7B5C">
        <w:rPr>
          <w:rFonts w:ascii="Times New Roman" w:eastAsia="Times New Roman" w:hAnsi="Times New Roman" w:cs="Times New Roman"/>
          <w:bCs/>
          <w:color w:val="000000"/>
          <w:sz w:val="20"/>
        </w:rPr>
        <w:t xml:space="preserve"> (</w:t>
      </w:r>
      <w:proofErr w:type="spellStart"/>
      <w:r>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w:t>
      </w:r>
      <w:proofErr w:type="spellStart"/>
      <w:r w:rsidRPr="00B32CC9">
        <w:rPr>
          <w:rFonts w:ascii="Times New Roman" w:eastAsia="Times New Roman" w:hAnsi="Times New Roman" w:cs="Times New Roman"/>
          <w:bCs/>
          <w:i/>
          <w:color w:val="000000"/>
          <w:sz w:val="20"/>
        </w:rPr>
        <w:t>TobinQ</w:t>
      </w:r>
      <w:proofErr w:type="spellEnd"/>
      <w:r>
        <w:rPr>
          <w:rFonts w:ascii="Times New Roman" w:eastAsia="Times New Roman" w:hAnsi="Times New Roman" w:cs="Times New Roman"/>
          <w:bCs/>
          <w:color w:val="000000"/>
          <w:sz w:val="20"/>
        </w:rPr>
        <w:t xml:space="preserve"> is the m</w:t>
      </w:r>
      <w:r w:rsidRPr="00B32CC9">
        <w:rPr>
          <w:rFonts w:ascii="Times New Roman" w:eastAsia="Times New Roman" w:hAnsi="Times New Roman" w:cs="Times New Roman"/>
          <w:bCs/>
          <w:color w:val="000000"/>
          <w:sz w:val="20"/>
        </w:rPr>
        <w:t>arket 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divided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by</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 where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 xml:space="preserve">the </w:t>
      </w:r>
      <w:r>
        <w:rPr>
          <w:rFonts w:ascii="Times New Roman" w:eastAsia="Times New Roman" w:hAnsi="Times New Roman" w:cs="Times New Roman"/>
          <w:bCs/>
          <w:color w:val="000000"/>
          <w:sz w:val="20"/>
        </w:rPr>
        <w:t xml:space="preserve">market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is</w:t>
      </w:r>
      <w:r>
        <w:rPr>
          <w:rFonts w:ascii="Times New Roman" w:eastAsia="Times New Roman" w:hAnsi="Times New Roman" w:cs="Times New Roman"/>
          <w:bCs/>
          <w:color w:val="000000"/>
          <w:sz w:val="20"/>
        </w:rPr>
        <w:t xml:space="preserve"> calculated </w:t>
      </w:r>
      <w:r w:rsidRPr="00B32CC9">
        <w:rPr>
          <w:rFonts w:ascii="Times New Roman" w:eastAsia="Times New Roman" w:hAnsi="Times New Roman" w:cs="Times New Roman"/>
          <w:bCs/>
          <w:color w:val="000000"/>
          <w:sz w:val="20"/>
        </w:rPr>
        <w:t>as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plus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market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less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sum</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 value of</w:t>
      </w:r>
      <w:r>
        <w:rPr>
          <w:rFonts w:ascii="Times New Roman" w:eastAsia="Times New Roman" w:hAnsi="Times New Roman" w:cs="Times New Roman"/>
          <w:bCs/>
          <w:color w:val="000000"/>
          <w:sz w:val="20"/>
        </w:rPr>
        <w:t xml:space="preserve"> the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and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balance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sheet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deferred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taxes.</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group contains firms with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group contains firms with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r w:rsidR="00A113D1">
        <w:rPr>
          <w:rFonts w:ascii="Times New Roman" w:eastAsia="Times New Roman" w:hAnsi="Times New Roman" w:cs="Times New Roman"/>
          <w:b/>
          <w:bCs/>
          <w:color w:val="000000"/>
          <w:sz w:val="24"/>
        </w:rPr>
        <w:t xml:space="preserve"> </w:t>
      </w:r>
    </w:p>
    <w:p w14:paraId="686667AD"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3BA4465E" w14:textId="1CA1D3A4"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282C5AEB"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48A8A9E2"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98A2C01"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4C6E13B"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sidRPr="002D7B5C">
        <w:rPr>
          <w:rFonts w:ascii="Times New Roman" w:eastAsia="Times New Roman" w:hAnsi="Times New Roman" w:cs="Times New Roman"/>
          <w:bCs/>
          <w:i/>
          <w:color w:val="000000"/>
          <w:sz w:val="24"/>
        </w:rPr>
        <w:t>Panel C: Institutional Ownership and Information Environment</w:t>
      </w:r>
    </w:p>
    <w:tbl>
      <w:tblPr>
        <w:tblW w:w="0" w:type="auto"/>
        <w:jc w:val="center"/>
        <w:tblLook w:val="04A0" w:firstRow="1" w:lastRow="0" w:firstColumn="1" w:lastColumn="0" w:noHBand="0" w:noVBand="1"/>
      </w:tblPr>
      <w:tblGrid>
        <w:gridCol w:w="2417"/>
        <w:gridCol w:w="1238"/>
        <w:gridCol w:w="617"/>
        <w:gridCol w:w="928"/>
        <w:gridCol w:w="1238"/>
        <w:gridCol w:w="617"/>
        <w:gridCol w:w="821"/>
      </w:tblGrid>
      <w:tr w:rsidR="008972C5" w:rsidRPr="002D7B5C" w14:paraId="54924450" w14:textId="77777777" w:rsidTr="009B50B6">
        <w:trPr>
          <w:trHeight w:val="288"/>
          <w:jc w:val="center"/>
        </w:trPr>
        <w:tc>
          <w:tcPr>
            <w:tcW w:w="0" w:type="auto"/>
            <w:tcBorders>
              <w:top w:val="single" w:sz="4" w:space="0" w:color="auto"/>
              <w:left w:val="nil"/>
              <w:bottom w:val="nil"/>
              <w:right w:val="nil"/>
            </w:tcBorders>
            <w:shd w:val="clear" w:color="auto" w:fill="auto"/>
            <w:noWrap/>
            <w:vAlign w:val="center"/>
            <w:hideMark/>
          </w:tcPr>
          <w:p w14:paraId="2CBB571F" w14:textId="77777777" w:rsidR="008972C5" w:rsidRPr="002D7B5C" w:rsidRDefault="008972C5" w:rsidP="009B50B6">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2A0A0D1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5EA3FF9E"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1B6C19E9"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0A538AD5" w14:textId="77777777" w:rsidR="008972C5" w:rsidRPr="002D7B5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4201B1B8"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INST_OWN</w:t>
            </w:r>
          </w:p>
        </w:tc>
        <w:tc>
          <w:tcPr>
            <w:tcW w:w="0" w:type="auto"/>
            <w:gridSpan w:val="3"/>
            <w:tcBorders>
              <w:top w:val="single" w:sz="4" w:space="0" w:color="auto"/>
              <w:left w:val="nil"/>
              <w:bottom w:val="nil"/>
              <w:right w:val="nil"/>
            </w:tcBorders>
            <w:shd w:val="clear" w:color="auto" w:fill="auto"/>
            <w:noWrap/>
            <w:vAlign w:val="bottom"/>
            <w:hideMark/>
          </w:tcPr>
          <w:p w14:paraId="560BBD5A" w14:textId="77777777" w:rsidR="008972C5" w:rsidRPr="002D7B5C" w:rsidRDefault="008972C5" w:rsidP="009B50B6">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INST_OWN</w:t>
            </w:r>
          </w:p>
        </w:tc>
      </w:tr>
      <w:tr w:rsidR="008972C5" w:rsidRPr="002D7B5C" w14:paraId="22182E6F"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1D2ACEEC" w14:textId="77777777" w:rsidR="008972C5" w:rsidRPr="002D7B5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E50EDF5"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1C588A6"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3167AC8A" w14:textId="77777777" w:rsidTr="009B50B6">
        <w:trPr>
          <w:trHeight w:val="288"/>
          <w:jc w:val="center"/>
        </w:trPr>
        <w:tc>
          <w:tcPr>
            <w:tcW w:w="0" w:type="auto"/>
            <w:tcBorders>
              <w:top w:val="nil"/>
              <w:left w:val="nil"/>
              <w:bottom w:val="single" w:sz="4" w:space="0" w:color="auto"/>
              <w:right w:val="nil"/>
            </w:tcBorders>
            <w:shd w:val="clear" w:color="auto" w:fill="auto"/>
            <w:noWrap/>
            <w:vAlign w:val="bottom"/>
            <w:hideMark/>
          </w:tcPr>
          <w:p w14:paraId="14BA21E8"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3B382F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8B52F93"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39EF0A6C"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26F99EB"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E708731"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FF2CD5"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04090B5A"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7152F6B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CF70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0.5291</w:t>
            </w:r>
          </w:p>
        </w:tc>
        <w:tc>
          <w:tcPr>
            <w:tcW w:w="0" w:type="auto"/>
            <w:tcBorders>
              <w:top w:val="nil"/>
              <w:left w:val="nil"/>
              <w:bottom w:val="nil"/>
              <w:right w:val="nil"/>
            </w:tcBorders>
            <w:shd w:val="clear" w:color="auto" w:fill="auto"/>
            <w:noWrap/>
            <w:vAlign w:val="center"/>
            <w:hideMark/>
          </w:tcPr>
          <w:p w14:paraId="2F0949C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6143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(4.81)</w:t>
            </w:r>
          </w:p>
        </w:tc>
        <w:tc>
          <w:tcPr>
            <w:tcW w:w="0" w:type="auto"/>
            <w:tcBorders>
              <w:top w:val="nil"/>
              <w:left w:val="nil"/>
              <w:bottom w:val="nil"/>
              <w:right w:val="nil"/>
            </w:tcBorders>
            <w:shd w:val="clear" w:color="auto" w:fill="auto"/>
            <w:noWrap/>
            <w:hideMark/>
          </w:tcPr>
          <w:p w14:paraId="38653D9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0.2876</w:t>
            </w:r>
          </w:p>
        </w:tc>
        <w:tc>
          <w:tcPr>
            <w:tcW w:w="0" w:type="auto"/>
            <w:tcBorders>
              <w:top w:val="nil"/>
              <w:left w:val="nil"/>
              <w:bottom w:val="nil"/>
              <w:right w:val="nil"/>
            </w:tcBorders>
            <w:shd w:val="clear" w:color="auto" w:fill="auto"/>
            <w:noWrap/>
            <w:vAlign w:val="center"/>
            <w:hideMark/>
          </w:tcPr>
          <w:p w14:paraId="1EF78C4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CDB79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00BCE4F2" w14:textId="77777777" w:rsidTr="009B50B6">
        <w:trPr>
          <w:trHeight w:val="288"/>
          <w:jc w:val="center"/>
        </w:trPr>
        <w:tc>
          <w:tcPr>
            <w:tcW w:w="0" w:type="auto"/>
            <w:tcBorders>
              <w:top w:val="nil"/>
              <w:left w:val="nil"/>
              <w:bottom w:val="nil"/>
              <w:right w:val="nil"/>
            </w:tcBorders>
            <w:shd w:val="clear" w:color="auto" w:fill="auto"/>
            <w:noWrap/>
            <w:hideMark/>
          </w:tcPr>
          <w:p w14:paraId="6A0539F5"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658D6A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-0.1482</w:t>
            </w:r>
          </w:p>
        </w:tc>
        <w:tc>
          <w:tcPr>
            <w:tcW w:w="0" w:type="auto"/>
            <w:tcBorders>
              <w:top w:val="nil"/>
              <w:left w:val="nil"/>
              <w:bottom w:val="nil"/>
              <w:right w:val="nil"/>
            </w:tcBorders>
            <w:shd w:val="clear" w:color="auto" w:fill="auto"/>
            <w:noWrap/>
            <w:vAlign w:val="center"/>
            <w:hideMark/>
          </w:tcPr>
          <w:p w14:paraId="7D29A2AC"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52A4A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(-1.87)</w:t>
            </w:r>
          </w:p>
        </w:tc>
        <w:tc>
          <w:tcPr>
            <w:tcW w:w="0" w:type="auto"/>
            <w:tcBorders>
              <w:top w:val="nil"/>
              <w:left w:val="nil"/>
              <w:bottom w:val="nil"/>
              <w:right w:val="nil"/>
            </w:tcBorders>
            <w:shd w:val="clear" w:color="auto" w:fill="auto"/>
            <w:noWrap/>
            <w:hideMark/>
          </w:tcPr>
          <w:p w14:paraId="1A83AAC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0.0816</w:t>
            </w:r>
          </w:p>
        </w:tc>
        <w:tc>
          <w:tcPr>
            <w:tcW w:w="0" w:type="auto"/>
            <w:tcBorders>
              <w:top w:val="nil"/>
              <w:left w:val="nil"/>
              <w:bottom w:val="nil"/>
              <w:right w:val="nil"/>
            </w:tcBorders>
            <w:shd w:val="clear" w:color="auto" w:fill="auto"/>
            <w:noWrap/>
            <w:vAlign w:val="center"/>
            <w:hideMark/>
          </w:tcPr>
          <w:p w14:paraId="483A934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079C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(0.84)</w:t>
            </w:r>
          </w:p>
        </w:tc>
      </w:tr>
      <w:tr w:rsidR="008972C5" w:rsidRPr="002D7B5C" w14:paraId="14F92688" w14:textId="77777777" w:rsidTr="009B50B6">
        <w:trPr>
          <w:trHeight w:val="288"/>
          <w:jc w:val="center"/>
        </w:trPr>
        <w:tc>
          <w:tcPr>
            <w:tcW w:w="0" w:type="auto"/>
            <w:tcBorders>
              <w:top w:val="nil"/>
              <w:left w:val="nil"/>
              <w:bottom w:val="nil"/>
              <w:right w:val="nil"/>
            </w:tcBorders>
            <w:shd w:val="clear" w:color="auto" w:fill="auto"/>
            <w:noWrap/>
            <w:hideMark/>
          </w:tcPr>
          <w:p w14:paraId="69A7D1F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62F819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-0.0804</w:t>
            </w:r>
          </w:p>
        </w:tc>
        <w:tc>
          <w:tcPr>
            <w:tcW w:w="0" w:type="auto"/>
            <w:tcBorders>
              <w:top w:val="nil"/>
              <w:left w:val="nil"/>
              <w:bottom w:val="nil"/>
              <w:right w:val="nil"/>
            </w:tcBorders>
            <w:shd w:val="clear" w:color="auto" w:fill="auto"/>
            <w:noWrap/>
            <w:vAlign w:val="center"/>
            <w:hideMark/>
          </w:tcPr>
          <w:p w14:paraId="478C843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B9B29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(-1.63)</w:t>
            </w:r>
          </w:p>
        </w:tc>
        <w:tc>
          <w:tcPr>
            <w:tcW w:w="0" w:type="auto"/>
            <w:tcBorders>
              <w:top w:val="nil"/>
              <w:left w:val="nil"/>
              <w:bottom w:val="nil"/>
              <w:right w:val="nil"/>
            </w:tcBorders>
            <w:shd w:val="clear" w:color="auto" w:fill="auto"/>
            <w:noWrap/>
            <w:hideMark/>
          </w:tcPr>
          <w:p w14:paraId="1305E9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-0.0227</w:t>
            </w:r>
          </w:p>
        </w:tc>
        <w:tc>
          <w:tcPr>
            <w:tcW w:w="0" w:type="auto"/>
            <w:tcBorders>
              <w:top w:val="nil"/>
              <w:left w:val="nil"/>
              <w:bottom w:val="nil"/>
              <w:right w:val="nil"/>
            </w:tcBorders>
            <w:shd w:val="clear" w:color="auto" w:fill="auto"/>
            <w:noWrap/>
            <w:vAlign w:val="center"/>
            <w:hideMark/>
          </w:tcPr>
          <w:p w14:paraId="64CB9F5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DEA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(-0.38)</w:t>
            </w:r>
          </w:p>
        </w:tc>
      </w:tr>
      <w:tr w:rsidR="008972C5" w:rsidRPr="002D7B5C" w14:paraId="51F3BC10" w14:textId="77777777" w:rsidTr="009B50B6">
        <w:trPr>
          <w:trHeight w:val="288"/>
          <w:jc w:val="center"/>
        </w:trPr>
        <w:tc>
          <w:tcPr>
            <w:tcW w:w="0" w:type="auto"/>
            <w:tcBorders>
              <w:top w:val="nil"/>
              <w:left w:val="nil"/>
              <w:bottom w:val="nil"/>
              <w:right w:val="nil"/>
            </w:tcBorders>
            <w:shd w:val="clear" w:color="auto" w:fill="auto"/>
            <w:noWrap/>
            <w:hideMark/>
          </w:tcPr>
          <w:p w14:paraId="3547E43B" w14:textId="77777777" w:rsidR="008972C5" w:rsidRPr="002D7B5C" w:rsidRDefault="008972C5" w:rsidP="009B50B6">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 xml:space="preserve">FWDLOOK x CONSER </w:t>
            </w:r>
          </w:p>
        </w:tc>
        <w:tc>
          <w:tcPr>
            <w:tcW w:w="0" w:type="auto"/>
            <w:tcBorders>
              <w:top w:val="nil"/>
              <w:left w:val="nil"/>
              <w:bottom w:val="nil"/>
              <w:right w:val="nil"/>
            </w:tcBorders>
            <w:shd w:val="clear" w:color="auto" w:fill="auto"/>
            <w:noWrap/>
            <w:hideMark/>
          </w:tcPr>
          <w:p w14:paraId="220B8773"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-0.1295</w:t>
            </w:r>
          </w:p>
        </w:tc>
        <w:tc>
          <w:tcPr>
            <w:tcW w:w="0" w:type="auto"/>
            <w:tcBorders>
              <w:top w:val="nil"/>
              <w:left w:val="nil"/>
              <w:bottom w:val="nil"/>
              <w:right w:val="nil"/>
            </w:tcBorders>
            <w:shd w:val="clear" w:color="auto" w:fill="auto"/>
            <w:noWrap/>
            <w:vAlign w:val="center"/>
            <w:hideMark/>
          </w:tcPr>
          <w:p w14:paraId="2F57FC5A"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D78DDA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(-2.96)</w:t>
            </w:r>
          </w:p>
        </w:tc>
        <w:tc>
          <w:tcPr>
            <w:tcW w:w="0" w:type="auto"/>
            <w:tcBorders>
              <w:top w:val="nil"/>
              <w:left w:val="nil"/>
              <w:bottom w:val="nil"/>
              <w:right w:val="nil"/>
            </w:tcBorders>
            <w:shd w:val="clear" w:color="auto" w:fill="auto"/>
            <w:noWrap/>
            <w:hideMark/>
          </w:tcPr>
          <w:p w14:paraId="00DC9BD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0.0144</w:t>
            </w:r>
          </w:p>
        </w:tc>
        <w:tc>
          <w:tcPr>
            <w:tcW w:w="0" w:type="auto"/>
            <w:tcBorders>
              <w:top w:val="nil"/>
              <w:left w:val="nil"/>
              <w:bottom w:val="nil"/>
              <w:right w:val="nil"/>
            </w:tcBorders>
            <w:shd w:val="clear" w:color="auto" w:fill="auto"/>
            <w:noWrap/>
            <w:vAlign w:val="center"/>
            <w:hideMark/>
          </w:tcPr>
          <w:p w14:paraId="2A53AC8C" w14:textId="77777777" w:rsidR="008972C5" w:rsidRPr="002D7B5C" w:rsidRDefault="008972C5" w:rsidP="009B50B6">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670F5318"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(0.21)</w:t>
            </w:r>
          </w:p>
        </w:tc>
      </w:tr>
      <w:tr w:rsidR="008972C5" w:rsidRPr="002D7B5C" w14:paraId="2665D700" w14:textId="77777777" w:rsidTr="009B50B6">
        <w:trPr>
          <w:trHeight w:val="288"/>
          <w:jc w:val="center"/>
        </w:trPr>
        <w:tc>
          <w:tcPr>
            <w:tcW w:w="0" w:type="auto"/>
            <w:tcBorders>
              <w:top w:val="nil"/>
              <w:left w:val="nil"/>
              <w:bottom w:val="nil"/>
              <w:right w:val="nil"/>
            </w:tcBorders>
            <w:shd w:val="clear" w:color="auto" w:fill="auto"/>
            <w:noWrap/>
            <w:hideMark/>
          </w:tcPr>
          <w:p w14:paraId="0E82890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0CFBBD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-0.2880</w:t>
            </w:r>
          </w:p>
        </w:tc>
        <w:tc>
          <w:tcPr>
            <w:tcW w:w="0" w:type="auto"/>
            <w:tcBorders>
              <w:top w:val="nil"/>
              <w:left w:val="nil"/>
              <w:bottom w:val="nil"/>
              <w:right w:val="nil"/>
            </w:tcBorders>
            <w:shd w:val="clear" w:color="auto" w:fill="auto"/>
            <w:noWrap/>
            <w:vAlign w:val="center"/>
            <w:hideMark/>
          </w:tcPr>
          <w:p w14:paraId="7C6703D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70A76C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(-2.91)</w:t>
            </w:r>
          </w:p>
        </w:tc>
        <w:tc>
          <w:tcPr>
            <w:tcW w:w="0" w:type="auto"/>
            <w:tcBorders>
              <w:top w:val="nil"/>
              <w:left w:val="nil"/>
              <w:bottom w:val="nil"/>
              <w:right w:val="nil"/>
            </w:tcBorders>
            <w:shd w:val="clear" w:color="auto" w:fill="auto"/>
            <w:noWrap/>
            <w:hideMark/>
          </w:tcPr>
          <w:p w14:paraId="077B113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-0.1947</w:t>
            </w:r>
          </w:p>
        </w:tc>
        <w:tc>
          <w:tcPr>
            <w:tcW w:w="0" w:type="auto"/>
            <w:tcBorders>
              <w:top w:val="nil"/>
              <w:left w:val="nil"/>
              <w:bottom w:val="nil"/>
              <w:right w:val="nil"/>
            </w:tcBorders>
            <w:shd w:val="clear" w:color="auto" w:fill="auto"/>
            <w:noWrap/>
            <w:vAlign w:val="center"/>
            <w:hideMark/>
          </w:tcPr>
          <w:p w14:paraId="174F9CC2"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3D800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1AE0232" w14:textId="77777777" w:rsidTr="009B50B6">
        <w:trPr>
          <w:trHeight w:val="288"/>
          <w:jc w:val="center"/>
        </w:trPr>
        <w:tc>
          <w:tcPr>
            <w:tcW w:w="0" w:type="auto"/>
            <w:tcBorders>
              <w:top w:val="nil"/>
              <w:left w:val="nil"/>
              <w:bottom w:val="nil"/>
              <w:right w:val="nil"/>
            </w:tcBorders>
            <w:shd w:val="clear" w:color="auto" w:fill="auto"/>
            <w:noWrap/>
            <w:hideMark/>
          </w:tcPr>
          <w:p w14:paraId="2BF5ECE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48DFB7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0.0193</w:t>
            </w:r>
          </w:p>
        </w:tc>
        <w:tc>
          <w:tcPr>
            <w:tcW w:w="0" w:type="auto"/>
            <w:tcBorders>
              <w:top w:val="nil"/>
              <w:left w:val="nil"/>
              <w:bottom w:val="nil"/>
              <w:right w:val="nil"/>
            </w:tcBorders>
            <w:shd w:val="clear" w:color="auto" w:fill="auto"/>
            <w:noWrap/>
            <w:vAlign w:val="center"/>
            <w:hideMark/>
          </w:tcPr>
          <w:p w14:paraId="25F5AC4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DEC64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696A861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-0.0811</w:t>
            </w:r>
          </w:p>
        </w:tc>
        <w:tc>
          <w:tcPr>
            <w:tcW w:w="0" w:type="auto"/>
            <w:tcBorders>
              <w:top w:val="nil"/>
              <w:left w:val="nil"/>
              <w:bottom w:val="nil"/>
              <w:right w:val="nil"/>
            </w:tcBorders>
            <w:shd w:val="clear" w:color="auto" w:fill="auto"/>
            <w:noWrap/>
            <w:vAlign w:val="center"/>
            <w:hideMark/>
          </w:tcPr>
          <w:p w14:paraId="36A7CFF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E210D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718C4DDD" w14:textId="77777777" w:rsidTr="009B50B6">
        <w:trPr>
          <w:trHeight w:val="288"/>
          <w:jc w:val="center"/>
        </w:trPr>
        <w:tc>
          <w:tcPr>
            <w:tcW w:w="0" w:type="auto"/>
            <w:tcBorders>
              <w:top w:val="nil"/>
              <w:left w:val="nil"/>
              <w:bottom w:val="nil"/>
              <w:right w:val="nil"/>
            </w:tcBorders>
            <w:shd w:val="clear" w:color="auto" w:fill="auto"/>
            <w:noWrap/>
            <w:hideMark/>
          </w:tcPr>
          <w:p w14:paraId="2B970112"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B10DF4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-0.0572</w:t>
            </w:r>
          </w:p>
        </w:tc>
        <w:tc>
          <w:tcPr>
            <w:tcW w:w="0" w:type="auto"/>
            <w:tcBorders>
              <w:top w:val="nil"/>
              <w:left w:val="nil"/>
              <w:bottom w:val="nil"/>
              <w:right w:val="nil"/>
            </w:tcBorders>
            <w:shd w:val="clear" w:color="auto" w:fill="auto"/>
            <w:noWrap/>
            <w:vAlign w:val="center"/>
            <w:hideMark/>
          </w:tcPr>
          <w:p w14:paraId="3151F15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58FC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7D8A471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0.1043</w:t>
            </w:r>
          </w:p>
        </w:tc>
        <w:tc>
          <w:tcPr>
            <w:tcW w:w="0" w:type="auto"/>
            <w:tcBorders>
              <w:top w:val="nil"/>
              <w:left w:val="nil"/>
              <w:bottom w:val="nil"/>
              <w:right w:val="nil"/>
            </w:tcBorders>
            <w:shd w:val="clear" w:color="auto" w:fill="auto"/>
            <w:noWrap/>
            <w:vAlign w:val="center"/>
            <w:hideMark/>
          </w:tcPr>
          <w:p w14:paraId="3CD74B1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7F77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r>
      <w:tr w:rsidR="008972C5" w:rsidRPr="002D7B5C" w14:paraId="27E29C0E" w14:textId="77777777" w:rsidTr="009B50B6">
        <w:trPr>
          <w:trHeight w:val="288"/>
          <w:jc w:val="center"/>
        </w:trPr>
        <w:tc>
          <w:tcPr>
            <w:tcW w:w="0" w:type="auto"/>
            <w:tcBorders>
              <w:top w:val="nil"/>
              <w:left w:val="nil"/>
              <w:bottom w:val="nil"/>
              <w:right w:val="nil"/>
            </w:tcBorders>
            <w:shd w:val="clear" w:color="auto" w:fill="auto"/>
            <w:noWrap/>
            <w:hideMark/>
          </w:tcPr>
          <w:p w14:paraId="2E9410B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15333C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0.0428</w:t>
            </w:r>
          </w:p>
        </w:tc>
        <w:tc>
          <w:tcPr>
            <w:tcW w:w="0" w:type="auto"/>
            <w:tcBorders>
              <w:top w:val="nil"/>
              <w:left w:val="nil"/>
              <w:bottom w:val="nil"/>
              <w:right w:val="nil"/>
            </w:tcBorders>
            <w:shd w:val="clear" w:color="auto" w:fill="auto"/>
            <w:noWrap/>
            <w:vAlign w:val="center"/>
            <w:hideMark/>
          </w:tcPr>
          <w:p w14:paraId="6FF6ECB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EE490A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518F6B5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165D8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0F956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w:t>
            </w:r>
          </w:p>
        </w:tc>
      </w:tr>
      <w:tr w:rsidR="008972C5" w:rsidRPr="002D7B5C" w14:paraId="0D40C255" w14:textId="77777777" w:rsidTr="009B50B6">
        <w:trPr>
          <w:trHeight w:val="288"/>
          <w:jc w:val="center"/>
        </w:trPr>
        <w:tc>
          <w:tcPr>
            <w:tcW w:w="0" w:type="auto"/>
            <w:tcBorders>
              <w:top w:val="nil"/>
              <w:left w:val="nil"/>
              <w:bottom w:val="nil"/>
              <w:right w:val="nil"/>
            </w:tcBorders>
            <w:shd w:val="clear" w:color="auto" w:fill="auto"/>
            <w:noWrap/>
            <w:hideMark/>
          </w:tcPr>
          <w:p w14:paraId="3B899B8E"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921619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0A9B0E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F3651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(-0.69)</w:t>
            </w:r>
          </w:p>
        </w:tc>
        <w:tc>
          <w:tcPr>
            <w:tcW w:w="0" w:type="auto"/>
            <w:tcBorders>
              <w:top w:val="nil"/>
              <w:left w:val="nil"/>
              <w:bottom w:val="nil"/>
              <w:right w:val="nil"/>
            </w:tcBorders>
            <w:shd w:val="clear" w:color="auto" w:fill="auto"/>
            <w:noWrap/>
            <w:hideMark/>
          </w:tcPr>
          <w:p w14:paraId="7C7A8D9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0.0296</w:t>
            </w:r>
          </w:p>
        </w:tc>
        <w:tc>
          <w:tcPr>
            <w:tcW w:w="0" w:type="auto"/>
            <w:tcBorders>
              <w:top w:val="nil"/>
              <w:left w:val="nil"/>
              <w:bottom w:val="nil"/>
              <w:right w:val="nil"/>
            </w:tcBorders>
            <w:shd w:val="clear" w:color="auto" w:fill="auto"/>
            <w:noWrap/>
            <w:vAlign w:val="center"/>
            <w:hideMark/>
          </w:tcPr>
          <w:p w14:paraId="04966B2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9892B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(0.32)</w:t>
            </w:r>
          </w:p>
        </w:tc>
      </w:tr>
      <w:tr w:rsidR="008972C5" w:rsidRPr="002D7B5C" w14:paraId="62BC6D1C" w14:textId="77777777" w:rsidTr="009B50B6">
        <w:trPr>
          <w:trHeight w:val="288"/>
          <w:jc w:val="center"/>
        </w:trPr>
        <w:tc>
          <w:tcPr>
            <w:tcW w:w="0" w:type="auto"/>
            <w:tcBorders>
              <w:top w:val="nil"/>
              <w:left w:val="nil"/>
              <w:bottom w:val="nil"/>
              <w:right w:val="nil"/>
            </w:tcBorders>
            <w:shd w:val="clear" w:color="auto" w:fill="auto"/>
            <w:noWrap/>
            <w:hideMark/>
          </w:tcPr>
          <w:p w14:paraId="086C008A"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25D50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0.1111</w:t>
            </w:r>
          </w:p>
        </w:tc>
        <w:tc>
          <w:tcPr>
            <w:tcW w:w="0" w:type="auto"/>
            <w:tcBorders>
              <w:top w:val="nil"/>
              <w:left w:val="nil"/>
              <w:bottom w:val="nil"/>
              <w:right w:val="nil"/>
            </w:tcBorders>
            <w:shd w:val="clear" w:color="auto" w:fill="auto"/>
            <w:noWrap/>
            <w:vAlign w:val="center"/>
            <w:hideMark/>
          </w:tcPr>
          <w:p w14:paraId="40E42CF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9DA36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169245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-0.2162</w:t>
            </w:r>
          </w:p>
        </w:tc>
        <w:tc>
          <w:tcPr>
            <w:tcW w:w="0" w:type="auto"/>
            <w:tcBorders>
              <w:top w:val="nil"/>
              <w:left w:val="nil"/>
              <w:bottom w:val="nil"/>
              <w:right w:val="nil"/>
            </w:tcBorders>
            <w:shd w:val="clear" w:color="auto" w:fill="auto"/>
            <w:noWrap/>
            <w:vAlign w:val="center"/>
            <w:hideMark/>
          </w:tcPr>
          <w:p w14:paraId="04761B9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0C08D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31763211" w14:textId="77777777" w:rsidTr="009B50B6">
        <w:trPr>
          <w:trHeight w:val="288"/>
          <w:jc w:val="center"/>
        </w:trPr>
        <w:tc>
          <w:tcPr>
            <w:tcW w:w="0" w:type="auto"/>
            <w:tcBorders>
              <w:top w:val="nil"/>
              <w:left w:val="nil"/>
              <w:bottom w:val="nil"/>
              <w:right w:val="nil"/>
            </w:tcBorders>
            <w:shd w:val="clear" w:color="auto" w:fill="auto"/>
            <w:noWrap/>
            <w:hideMark/>
          </w:tcPr>
          <w:p w14:paraId="71B2A3C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D4337D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-0.0489</w:t>
            </w:r>
          </w:p>
        </w:tc>
        <w:tc>
          <w:tcPr>
            <w:tcW w:w="0" w:type="auto"/>
            <w:tcBorders>
              <w:top w:val="nil"/>
              <w:left w:val="nil"/>
              <w:bottom w:val="nil"/>
              <w:right w:val="nil"/>
            </w:tcBorders>
            <w:shd w:val="clear" w:color="auto" w:fill="auto"/>
            <w:noWrap/>
            <w:vAlign w:val="center"/>
            <w:hideMark/>
          </w:tcPr>
          <w:p w14:paraId="46C1B52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04E893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(-0.79)</w:t>
            </w:r>
          </w:p>
        </w:tc>
        <w:tc>
          <w:tcPr>
            <w:tcW w:w="0" w:type="auto"/>
            <w:tcBorders>
              <w:top w:val="nil"/>
              <w:left w:val="nil"/>
              <w:bottom w:val="nil"/>
              <w:right w:val="nil"/>
            </w:tcBorders>
            <w:shd w:val="clear" w:color="auto" w:fill="auto"/>
            <w:noWrap/>
            <w:hideMark/>
          </w:tcPr>
          <w:p w14:paraId="2FF378E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0.1717</w:t>
            </w:r>
          </w:p>
        </w:tc>
        <w:tc>
          <w:tcPr>
            <w:tcW w:w="0" w:type="auto"/>
            <w:tcBorders>
              <w:top w:val="nil"/>
              <w:left w:val="nil"/>
              <w:bottom w:val="nil"/>
              <w:right w:val="nil"/>
            </w:tcBorders>
            <w:shd w:val="clear" w:color="auto" w:fill="auto"/>
            <w:noWrap/>
            <w:vAlign w:val="center"/>
            <w:hideMark/>
          </w:tcPr>
          <w:p w14:paraId="2A71C89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28920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(1.27)</w:t>
            </w:r>
          </w:p>
        </w:tc>
      </w:tr>
      <w:tr w:rsidR="008972C5" w:rsidRPr="002D7B5C" w14:paraId="1B077B85" w14:textId="77777777" w:rsidTr="009B50B6">
        <w:trPr>
          <w:trHeight w:val="288"/>
          <w:jc w:val="center"/>
        </w:trPr>
        <w:tc>
          <w:tcPr>
            <w:tcW w:w="0" w:type="auto"/>
            <w:tcBorders>
              <w:top w:val="nil"/>
              <w:left w:val="nil"/>
              <w:bottom w:val="nil"/>
              <w:right w:val="nil"/>
            </w:tcBorders>
            <w:shd w:val="clear" w:color="auto" w:fill="auto"/>
            <w:noWrap/>
            <w:hideMark/>
          </w:tcPr>
          <w:p w14:paraId="1E6B79C3"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1C2B018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-0.0283</w:t>
            </w:r>
          </w:p>
        </w:tc>
        <w:tc>
          <w:tcPr>
            <w:tcW w:w="0" w:type="auto"/>
            <w:tcBorders>
              <w:top w:val="nil"/>
              <w:left w:val="nil"/>
              <w:bottom w:val="nil"/>
              <w:right w:val="nil"/>
            </w:tcBorders>
            <w:shd w:val="clear" w:color="auto" w:fill="auto"/>
            <w:noWrap/>
            <w:vAlign w:val="center"/>
            <w:hideMark/>
          </w:tcPr>
          <w:p w14:paraId="38E6BA7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8D1F7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6EFCA15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-0.0857</w:t>
            </w:r>
          </w:p>
        </w:tc>
        <w:tc>
          <w:tcPr>
            <w:tcW w:w="0" w:type="auto"/>
            <w:tcBorders>
              <w:top w:val="nil"/>
              <w:left w:val="nil"/>
              <w:bottom w:val="nil"/>
              <w:right w:val="nil"/>
            </w:tcBorders>
            <w:shd w:val="clear" w:color="auto" w:fill="auto"/>
            <w:noWrap/>
            <w:vAlign w:val="center"/>
            <w:hideMark/>
          </w:tcPr>
          <w:p w14:paraId="6CC7997E"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0586AD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(-0.95)</w:t>
            </w:r>
          </w:p>
        </w:tc>
      </w:tr>
      <w:tr w:rsidR="008972C5" w:rsidRPr="002D7B5C" w14:paraId="09785DAE" w14:textId="77777777" w:rsidTr="009B50B6">
        <w:trPr>
          <w:trHeight w:val="288"/>
          <w:jc w:val="center"/>
        </w:trPr>
        <w:tc>
          <w:tcPr>
            <w:tcW w:w="0" w:type="auto"/>
            <w:tcBorders>
              <w:top w:val="nil"/>
              <w:left w:val="nil"/>
              <w:bottom w:val="nil"/>
              <w:right w:val="nil"/>
            </w:tcBorders>
            <w:shd w:val="clear" w:color="auto" w:fill="auto"/>
            <w:noWrap/>
            <w:hideMark/>
          </w:tcPr>
          <w:p w14:paraId="091A66C0"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54E4878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-0.1029</w:t>
            </w:r>
          </w:p>
        </w:tc>
        <w:tc>
          <w:tcPr>
            <w:tcW w:w="0" w:type="auto"/>
            <w:tcBorders>
              <w:top w:val="nil"/>
              <w:left w:val="nil"/>
              <w:bottom w:val="nil"/>
              <w:right w:val="nil"/>
            </w:tcBorders>
            <w:shd w:val="clear" w:color="auto" w:fill="auto"/>
            <w:noWrap/>
            <w:vAlign w:val="center"/>
            <w:hideMark/>
          </w:tcPr>
          <w:p w14:paraId="5E300D3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832F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(-1.54)</w:t>
            </w:r>
          </w:p>
        </w:tc>
        <w:tc>
          <w:tcPr>
            <w:tcW w:w="0" w:type="auto"/>
            <w:tcBorders>
              <w:top w:val="nil"/>
              <w:left w:val="nil"/>
              <w:bottom w:val="nil"/>
              <w:right w:val="nil"/>
            </w:tcBorders>
            <w:shd w:val="clear" w:color="auto" w:fill="auto"/>
            <w:noWrap/>
            <w:hideMark/>
          </w:tcPr>
          <w:p w14:paraId="424870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0.0112</w:t>
            </w:r>
          </w:p>
        </w:tc>
        <w:tc>
          <w:tcPr>
            <w:tcW w:w="0" w:type="auto"/>
            <w:tcBorders>
              <w:top w:val="nil"/>
              <w:left w:val="nil"/>
              <w:bottom w:val="nil"/>
              <w:right w:val="nil"/>
            </w:tcBorders>
            <w:shd w:val="clear" w:color="auto" w:fill="auto"/>
            <w:noWrap/>
            <w:vAlign w:val="center"/>
            <w:hideMark/>
          </w:tcPr>
          <w:p w14:paraId="7012688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40C95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w:t>
            </w:r>
          </w:p>
        </w:tc>
      </w:tr>
      <w:tr w:rsidR="008972C5" w:rsidRPr="002D7B5C" w14:paraId="44C8B28A" w14:textId="77777777" w:rsidTr="009B50B6">
        <w:trPr>
          <w:trHeight w:val="288"/>
          <w:jc w:val="center"/>
        </w:trPr>
        <w:tc>
          <w:tcPr>
            <w:tcW w:w="0" w:type="auto"/>
            <w:tcBorders>
              <w:top w:val="nil"/>
              <w:left w:val="nil"/>
              <w:bottom w:val="nil"/>
              <w:right w:val="nil"/>
            </w:tcBorders>
            <w:shd w:val="clear" w:color="auto" w:fill="auto"/>
            <w:noWrap/>
            <w:hideMark/>
          </w:tcPr>
          <w:p w14:paraId="69AE9E9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B072AD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-0.7673</w:t>
            </w:r>
          </w:p>
        </w:tc>
        <w:tc>
          <w:tcPr>
            <w:tcW w:w="0" w:type="auto"/>
            <w:tcBorders>
              <w:top w:val="nil"/>
              <w:left w:val="nil"/>
              <w:bottom w:val="nil"/>
              <w:right w:val="nil"/>
            </w:tcBorders>
            <w:shd w:val="clear" w:color="auto" w:fill="auto"/>
            <w:noWrap/>
            <w:vAlign w:val="center"/>
            <w:hideMark/>
          </w:tcPr>
          <w:p w14:paraId="0D049E4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539E26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(-5.52)</w:t>
            </w:r>
          </w:p>
        </w:tc>
        <w:tc>
          <w:tcPr>
            <w:tcW w:w="0" w:type="auto"/>
            <w:tcBorders>
              <w:top w:val="nil"/>
              <w:left w:val="nil"/>
              <w:bottom w:val="nil"/>
              <w:right w:val="nil"/>
            </w:tcBorders>
            <w:shd w:val="clear" w:color="auto" w:fill="auto"/>
            <w:noWrap/>
            <w:hideMark/>
          </w:tcPr>
          <w:p w14:paraId="18AED7D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-0.7696</w:t>
            </w:r>
          </w:p>
        </w:tc>
        <w:tc>
          <w:tcPr>
            <w:tcW w:w="0" w:type="auto"/>
            <w:tcBorders>
              <w:top w:val="nil"/>
              <w:left w:val="nil"/>
              <w:bottom w:val="nil"/>
              <w:right w:val="nil"/>
            </w:tcBorders>
            <w:shd w:val="clear" w:color="auto" w:fill="auto"/>
            <w:noWrap/>
            <w:vAlign w:val="center"/>
            <w:hideMark/>
          </w:tcPr>
          <w:p w14:paraId="069A3D5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62F6F2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(-6.29)</w:t>
            </w:r>
          </w:p>
        </w:tc>
      </w:tr>
      <w:tr w:rsidR="008972C5" w:rsidRPr="002D7B5C" w14:paraId="776A7C9A" w14:textId="77777777" w:rsidTr="009B50B6">
        <w:trPr>
          <w:trHeight w:val="288"/>
          <w:jc w:val="center"/>
        </w:trPr>
        <w:tc>
          <w:tcPr>
            <w:tcW w:w="0" w:type="auto"/>
            <w:tcBorders>
              <w:top w:val="nil"/>
              <w:left w:val="nil"/>
              <w:bottom w:val="nil"/>
              <w:right w:val="nil"/>
            </w:tcBorders>
            <w:shd w:val="clear" w:color="auto" w:fill="auto"/>
            <w:noWrap/>
            <w:hideMark/>
          </w:tcPr>
          <w:p w14:paraId="627643E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E16F03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-0.1310</w:t>
            </w:r>
          </w:p>
        </w:tc>
        <w:tc>
          <w:tcPr>
            <w:tcW w:w="0" w:type="auto"/>
            <w:tcBorders>
              <w:top w:val="nil"/>
              <w:left w:val="nil"/>
              <w:bottom w:val="nil"/>
              <w:right w:val="nil"/>
            </w:tcBorders>
            <w:shd w:val="clear" w:color="auto" w:fill="auto"/>
            <w:noWrap/>
            <w:vAlign w:val="center"/>
            <w:hideMark/>
          </w:tcPr>
          <w:p w14:paraId="010A7A40"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009DE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c>
          <w:tcPr>
            <w:tcW w:w="0" w:type="auto"/>
            <w:tcBorders>
              <w:top w:val="nil"/>
              <w:left w:val="nil"/>
              <w:bottom w:val="nil"/>
              <w:right w:val="nil"/>
            </w:tcBorders>
            <w:shd w:val="clear" w:color="auto" w:fill="auto"/>
            <w:noWrap/>
            <w:hideMark/>
          </w:tcPr>
          <w:p w14:paraId="54B75B2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-0.0409</w:t>
            </w:r>
          </w:p>
        </w:tc>
        <w:tc>
          <w:tcPr>
            <w:tcW w:w="0" w:type="auto"/>
            <w:tcBorders>
              <w:top w:val="nil"/>
              <w:left w:val="nil"/>
              <w:bottom w:val="nil"/>
              <w:right w:val="nil"/>
            </w:tcBorders>
            <w:shd w:val="clear" w:color="auto" w:fill="auto"/>
            <w:noWrap/>
            <w:vAlign w:val="center"/>
            <w:hideMark/>
          </w:tcPr>
          <w:p w14:paraId="193196A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6DDAA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(-0.49)</w:t>
            </w:r>
          </w:p>
        </w:tc>
      </w:tr>
      <w:tr w:rsidR="008972C5" w:rsidRPr="002D7B5C" w14:paraId="6C90AA37"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4B3B1FC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363EC44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-0.0380</w:t>
            </w:r>
          </w:p>
        </w:tc>
        <w:tc>
          <w:tcPr>
            <w:tcW w:w="0" w:type="auto"/>
            <w:tcBorders>
              <w:top w:val="nil"/>
              <w:left w:val="nil"/>
              <w:bottom w:val="nil"/>
              <w:right w:val="nil"/>
            </w:tcBorders>
            <w:shd w:val="clear" w:color="auto" w:fill="auto"/>
            <w:noWrap/>
            <w:vAlign w:val="center"/>
            <w:hideMark/>
          </w:tcPr>
          <w:p w14:paraId="20FC870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D3CF1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62BD434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0.0817</w:t>
            </w:r>
          </w:p>
        </w:tc>
        <w:tc>
          <w:tcPr>
            <w:tcW w:w="0" w:type="auto"/>
            <w:tcBorders>
              <w:top w:val="nil"/>
              <w:left w:val="nil"/>
              <w:bottom w:val="nil"/>
              <w:right w:val="nil"/>
            </w:tcBorders>
            <w:shd w:val="clear" w:color="auto" w:fill="auto"/>
            <w:noWrap/>
            <w:vAlign w:val="center"/>
            <w:hideMark/>
          </w:tcPr>
          <w:p w14:paraId="11CB006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DAD10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393F019B"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4DEE92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6A4647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0.0224</w:t>
            </w:r>
          </w:p>
        </w:tc>
        <w:tc>
          <w:tcPr>
            <w:tcW w:w="0" w:type="auto"/>
            <w:tcBorders>
              <w:top w:val="nil"/>
              <w:left w:val="nil"/>
              <w:bottom w:val="nil"/>
              <w:right w:val="nil"/>
            </w:tcBorders>
            <w:shd w:val="clear" w:color="auto" w:fill="auto"/>
            <w:noWrap/>
            <w:vAlign w:val="center"/>
            <w:hideMark/>
          </w:tcPr>
          <w:p w14:paraId="1BAE6858"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5C66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65F9D78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-0.0257</w:t>
            </w:r>
          </w:p>
        </w:tc>
        <w:tc>
          <w:tcPr>
            <w:tcW w:w="0" w:type="auto"/>
            <w:tcBorders>
              <w:top w:val="nil"/>
              <w:left w:val="nil"/>
              <w:bottom w:val="nil"/>
              <w:right w:val="nil"/>
            </w:tcBorders>
            <w:shd w:val="clear" w:color="auto" w:fill="auto"/>
            <w:noWrap/>
            <w:vAlign w:val="center"/>
            <w:hideMark/>
          </w:tcPr>
          <w:p w14:paraId="3CCE3C0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16DD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BE39B4F"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412D7BDD"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08F59DF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51BA981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68EE5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1A8C467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1278FCF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8D0AC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w:t>
            </w:r>
          </w:p>
        </w:tc>
      </w:tr>
      <w:tr w:rsidR="008972C5" w:rsidRPr="002D7B5C" w14:paraId="1F850B72"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55C9FAD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0A80AF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09B9031E"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B94C8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74B9741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-0.1153</w:t>
            </w:r>
          </w:p>
        </w:tc>
        <w:tc>
          <w:tcPr>
            <w:tcW w:w="0" w:type="auto"/>
            <w:tcBorders>
              <w:top w:val="nil"/>
              <w:left w:val="nil"/>
              <w:bottom w:val="nil"/>
              <w:right w:val="nil"/>
            </w:tcBorders>
            <w:shd w:val="clear" w:color="auto" w:fill="auto"/>
            <w:noWrap/>
            <w:vAlign w:val="center"/>
            <w:hideMark/>
          </w:tcPr>
          <w:p w14:paraId="09A868A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C3D31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(-1.18)</w:t>
            </w:r>
          </w:p>
        </w:tc>
      </w:tr>
      <w:tr w:rsidR="008972C5" w:rsidRPr="002D7B5C" w14:paraId="06787A30" w14:textId="77777777" w:rsidTr="009B50B6">
        <w:trPr>
          <w:trHeight w:val="288"/>
          <w:jc w:val="center"/>
        </w:trPr>
        <w:tc>
          <w:tcPr>
            <w:tcW w:w="0" w:type="auto"/>
            <w:tcBorders>
              <w:top w:val="nil"/>
              <w:left w:val="nil"/>
              <w:bottom w:val="nil"/>
              <w:right w:val="nil"/>
            </w:tcBorders>
            <w:shd w:val="clear" w:color="auto" w:fill="auto"/>
            <w:noWrap/>
            <w:hideMark/>
          </w:tcPr>
          <w:p w14:paraId="4E14C6D7"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E1D095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-0.0919</w:t>
            </w:r>
          </w:p>
        </w:tc>
        <w:tc>
          <w:tcPr>
            <w:tcW w:w="0" w:type="auto"/>
            <w:tcBorders>
              <w:top w:val="nil"/>
              <w:left w:val="nil"/>
              <w:bottom w:val="nil"/>
              <w:right w:val="nil"/>
            </w:tcBorders>
            <w:shd w:val="clear" w:color="auto" w:fill="auto"/>
            <w:noWrap/>
            <w:vAlign w:val="center"/>
            <w:hideMark/>
          </w:tcPr>
          <w:p w14:paraId="0AFB086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7EE0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c>
          <w:tcPr>
            <w:tcW w:w="0" w:type="auto"/>
            <w:tcBorders>
              <w:top w:val="nil"/>
              <w:left w:val="nil"/>
              <w:bottom w:val="nil"/>
              <w:right w:val="nil"/>
            </w:tcBorders>
            <w:shd w:val="clear" w:color="auto" w:fill="auto"/>
            <w:noWrap/>
            <w:hideMark/>
          </w:tcPr>
          <w:p w14:paraId="2D6C74A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34C4CA6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954B5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(-1.88)</w:t>
            </w:r>
          </w:p>
        </w:tc>
      </w:tr>
      <w:tr w:rsidR="008972C5" w:rsidRPr="002D7B5C" w14:paraId="62DC7A5D" w14:textId="77777777" w:rsidTr="009B50B6">
        <w:trPr>
          <w:trHeight w:val="288"/>
          <w:jc w:val="center"/>
        </w:trPr>
        <w:tc>
          <w:tcPr>
            <w:tcW w:w="0" w:type="auto"/>
            <w:tcBorders>
              <w:top w:val="nil"/>
              <w:left w:val="nil"/>
              <w:bottom w:val="single" w:sz="4" w:space="0" w:color="auto"/>
              <w:right w:val="nil"/>
            </w:tcBorders>
            <w:shd w:val="clear" w:color="auto" w:fill="auto"/>
            <w:noWrap/>
            <w:vAlign w:val="center"/>
            <w:hideMark/>
          </w:tcPr>
          <w:p w14:paraId="56F449C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4BFE0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0.1375</w:t>
            </w:r>
          </w:p>
        </w:tc>
        <w:tc>
          <w:tcPr>
            <w:tcW w:w="0" w:type="auto"/>
            <w:tcBorders>
              <w:top w:val="nil"/>
              <w:left w:val="nil"/>
              <w:bottom w:val="single" w:sz="4" w:space="0" w:color="auto"/>
              <w:right w:val="nil"/>
            </w:tcBorders>
            <w:shd w:val="clear" w:color="auto" w:fill="auto"/>
            <w:noWrap/>
            <w:vAlign w:val="center"/>
            <w:hideMark/>
          </w:tcPr>
          <w:p w14:paraId="0004A90D"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DD6115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(1.49)</w:t>
            </w:r>
          </w:p>
        </w:tc>
        <w:tc>
          <w:tcPr>
            <w:tcW w:w="0" w:type="auto"/>
            <w:tcBorders>
              <w:top w:val="nil"/>
              <w:left w:val="nil"/>
              <w:bottom w:val="single" w:sz="4" w:space="0" w:color="auto"/>
              <w:right w:val="nil"/>
            </w:tcBorders>
            <w:shd w:val="clear" w:color="auto" w:fill="auto"/>
            <w:noWrap/>
            <w:hideMark/>
          </w:tcPr>
          <w:p w14:paraId="28642A9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0.1791</w:t>
            </w:r>
          </w:p>
        </w:tc>
        <w:tc>
          <w:tcPr>
            <w:tcW w:w="0" w:type="auto"/>
            <w:tcBorders>
              <w:top w:val="nil"/>
              <w:left w:val="nil"/>
              <w:bottom w:val="single" w:sz="4" w:space="0" w:color="auto"/>
              <w:right w:val="nil"/>
            </w:tcBorders>
            <w:shd w:val="clear" w:color="auto" w:fill="auto"/>
            <w:noWrap/>
            <w:vAlign w:val="center"/>
            <w:hideMark/>
          </w:tcPr>
          <w:p w14:paraId="25C2F7D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3A9C44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(1.16)</w:t>
            </w:r>
          </w:p>
        </w:tc>
      </w:tr>
      <w:tr w:rsidR="008972C5" w:rsidRPr="002D7B5C" w14:paraId="52299818" w14:textId="77777777" w:rsidTr="009B50B6">
        <w:trPr>
          <w:trHeight w:val="288"/>
          <w:jc w:val="center"/>
        </w:trPr>
        <w:tc>
          <w:tcPr>
            <w:tcW w:w="0" w:type="auto"/>
            <w:tcBorders>
              <w:top w:val="nil"/>
              <w:left w:val="nil"/>
              <w:bottom w:val="nil"/>
              <w:right w:val="nil"/>
            </w:tcBorders>
            <w:shd w:val="clear" w:color="auto" w:fill="auto"/>
            <w:noWrap/>
            <w:hideMark/>
          </w:tcPr>
          <w:p w14:paraId="3F4F2B0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33C02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B5F92F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964F7F"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D748A7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AF19E9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5E2E78"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27BBD111" w14:textId="77777777" w:rsidTr="009B50B6">
        <w:trPr>
          <w:trHeight w:val="330"/>
          <w:jc w:val="center"/>
        </w:trPr>
        <w:tc>
          <w:tcPr>
            <w:tcW w:w="0" w:type="auto"/>
            <w:tcBorders>
              <w:top w:val="nil"/>
              <w:left w:val="nil"/>
              <w:bottom w:val="nil"/>
              <w:right w:val="nil"/>
            </w:tcBorders>
            <w:shd w:val="clear" w:color="auto" w:fill="auto"/>
            <w:noWrap/>
            <w:vAlign w:val="center"/>
            <w:hideMark/>
          </w:tcPr>
          <w:p w14:paraId="20BCBD2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03B0E18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21.63%</w:t>
            </w:r>
          </w:p>
        </w:tc>
        <w:tc>
          <w:tcPr>
            <w:tcW w:w="0" w:type="auto"/>
            <w:tcBorders>
              <w:top w:val="nil"/>
              <w:left w:val="nil"/>
              <w:bottom w:val="nil"/>
              <w:right w:val="nil"/>
            </w:tcBorders>
            <w:shd w:val="clear" w:color="auto" w:fill="auto"/>
            <w:noWrap/>
            <w:vAlign w:val="bottom"/>
            <w:hideMark/>
          </w:tcPr>
          <w:p w14:paraId="33C99F0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8E6FAAE"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02BB9F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18.15%</w:t>
            </w:r>
          </w:p>
        </w:tc>
        <w:tc>
          <w:tcPr>
            <w:tcW w:w="0" w:type="auto"/>
            <w:tcBorders>
              <w:top w:val="nil"/>
              <w:left w:val="nil"/>
              <w:bottom w:val="nil"/>
              <w:right w:val="nil"/>
            </w:tcBorders>
            <w:shd w:val="clear" w:color="auto" w:fill="auto"/>
            <w:noWrap/>
            <w:vAlign w:val="bottom"/>
            <w:hideMark/>
          </w:tcPr>
          <w:p w14:paraId="1889B03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5390683"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588AB1B7" w14:textId="77777777" w:rsidTr="009B50B6">
        <w:trPr>
          <w:trHeight w:val="294"/>
          <w:jc w:val="center"/>
        </w:trPr>
        <w:tc>
          <w:tcPr>
            <w:tcW w:w="0" w:type="auto"/>
            <w:tcBorders>
              <w:top w:val="nil"/>
              <w:left w:val="nil"/>
              <w:bottom w:val="single" w:sz="8" w:space="0" w:color="auto"/>
              <w:right w:val="nil"/>
            </w:tcBorders>
            <w:shd w:val="clear" w:color="auto" w:fill="auto"/>
            <w:noWrap/>
            <w:vAlign w:val="center"/>
            <w:hideMark/>
          </w:tcPr>
          <w:p w14:paraId="6B504E3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02D59A6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3,784 </w:t>
            </w:r>
          </w:p>
        </w:tc>
        <w:tc>
          <w:tcPr>
            <w:tcW w:w="0" w:type="auto"/>
            <w:tcBorders>
              <w:top w:val="nil"/>
              <w:left w:val="nil"/>
              <w:bottom w:val="single" w:sz="8" w:space="0" w:color="auto"/>
              <w:right w:val="nil"/>
            </w:tcBorders>
            <w:shd w:val="clear" w:color="auto" w:fill="auto"/>
            <w:noWrap/>
            <w:vAlign w:val="bottom"/>
            <w:hideMark/>
          </w:tcPr>
          <w:p w14:paraId="57913629"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8D7AD7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525C42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3,807 </w:t>
            </w:r>
          </w:p>
        </w:tc>
        <w:tc>
          <w:tcPr>
            <w:tcW w:w="0" w:type="auto"/>
            <w:tcBorders>
              <w:top w:val="nil"/>
              <w:left w:val="nil"/>
              <w:bottom w:val="single" w:sz="8" w:space="0" w:color="auto"/>
              <w:right w:val="nil"/>
            </w:tcBorders>
            <w:shd w:val="clear" w:color="auto" w:fill="auto"/>
            <w:noWrap/>
            <w:vAlign w:val="bottom"/>
            <w:hideMark/>
          </w:tcPr>
          <w:p w14:paraId="14E21E67"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1B504EC"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5BD0AD78" w14:textId="77777777" w:rsidR="008972C5" w:rsidRPr="005F7C3C" w:rsidRDefault="008972C5" w:rsidP="008972C5">
      <w:pPr>
        <w:ind w:left="72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C</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institutional ownership</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Pr>
          <w:rFonts w:ascii="Times New Roman" w:eastAsia="Times New Roman" w:hAnsi="Times New Roman" w:cs="Times New Roman"/>
          <w:bCs/>
          <w:color w:val="000000"/>
          <w:sz w:val="20"/>
        </w:rPr>
        <w:t xml:space="preserve"> is the percentage of institutional ownership</w:t>
      </w:r>
      <w:r w:rsidRPr="00B32CC9">
        <w:rPr>
          <w:rFonts w:ascii="Times New Roman" w:eastAsia="Times New Roman" w:hAnsi="Times New Roman" w:cs="Times New Roman"/>
          <w:bCs/>
          <w:color w:val="000000"/>
          <w:sz w:val="20"/>
        </w:rPr>
        <w:t>.</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25E69DEA" w14:textId="32401F01" w:rsidR="00E712B3" w:rsidRPr="00E712B3" w:rsidRDefault="00E712B3" w:rsidP="00B14ECE">
      <w:pPr>
        <w:spacing w:after="160" w:line="259" w:lineRule="auto"/>
        <w:rPr>
          <w:rFonts w:ascii="Times New Roman" w:eastAsia="Times New Roman" w:hAnsi="Times New Roman" w:cs="Times New Roman"/>
          <w:b/>
          <w:bCs/>
          <w:color w:val="000000"/>
          <w:sz w:val="24"/>
        </w:rPr>
      </w:pPr>
    </w:p>
    <w:sectPr w:rsidR="00E712B3" w:rsidRPr="00E712B3" w:rsidSect="00F24078">
      <w:pgSz w:w="12240" w:h="15840"/>
      <w:pgMar w:top="1440" w:right="1440" w:bottom="1440" w:left="1440" w:header="720" w:footer="720" w:gutter="0"/>
      <w:pgBorders w:offsetFrom="page">
        <w:top w:val="sing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8BB58" w14:textId="77777777" w:rsidR="00AF6AE9" w:rsidRDefault="00AF6AE9" w:rsidP="0020397D">
      <w:r>
        <w:separator/>
      </w:r>
    </w:p>
  </w:endnote>
  <w:endnote w:type="continuationSeparator" w:id="0">
    <w:p w14:paraId="535ADC6F" w14:textId="77777777" w:rsidR="00AF6AE9" w:rsidRDefault="00AF6AE9" w:rsidP="0020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PSA88D">
    <w:altName w:val="Cambria"/>
    <w:panose1 w:val="020B0604020202020204"/>
    <w:charset w:val="00"/>
    <w:family w:val="roman"/>
    <w:notTrueType/>
    <w:pitch w:val="default"/>
    <w:sig w:usb0="00000003" w:usb1="00000000" w:usb2="00000000" w:usb3="00000000" w:csb0="00000001"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0763861"/>
      <w:docPartObj>
        <w:docPartGallery w:val="Page Numbers (Bottom of Page)"/>
        <w:docPartUnique/>
      </w:docPartObj>
    </w:sdtPr>
    <w:sdtEndPr>
      <w:rPr>
        <w:rFonts w:ascii="Times New Roman" w:hAnsi="Times New Roman" w:cs="Times New Roman"/>
        <w:noProof/>
        <w:sz w:val="24"/>
      </w:rPr>
    </w:sdtEndPr>
    <w:sdtContent>
      <w:p w14:paraId="2BC3756B" w14:textId="3B2C9CA4"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A113D1">
          <w:rPr>
            <w:rFonts w:ascii="Times New Roman" w:hAnsi="Times New Roman" w:cs="Times New Roman"/>
            <w:noProof/>
            <w:sz w:val="24"/>
          </w:rPr>
          <w:t>1</w:t>
        </w:r>
        <w:r w:rsidRPr="002570AE">
          <w:rPr>
            <w:rFonts w:ascii="Times New Roman" w:hAnsi="Times New Roman" w:cs="Times New Roman"/>
            <w:noProof/>
            <w:sz w:val="24"/>
          </w:rPr>
          <w:fldChar w:fldCharType="end"/>
        </w:r>
      </w:p>
    </w:sdtContent>
  </w:sdt>
  <w:p w14:paraId="77D574A1" w14:textId="77777777" w:rsidR="0049674D" w:rsidRDefault="00496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4718702"/>
      <w:docPartObj>
        <w:docPartGallery w:val="Page Numbers (Bottom of Page)"/>
        <w:docPartUnique/>
      </w:docPartObj>
    </w:sdtPr>
    <w:sdtEndPr>
      <w:rPr>
        <w:rFonts w:ascii="Times New Roman" w:hAnsi="Times New Roman" w:cs="Times New Roman"/>
        <w:noProof/>
        <w:sz w:val="24"/>
      </w:rPr>
    </w:sdtEndPr>
    <w:sdtContent>
      <w:p w14:paraId="5AB99634" w14:textId="7E419BE3"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1A594B">
          <w:rPr>
            <w:rFonts w:ascii="Times New Roman" w:hAnsi="Times New Roman" w:cs="Times New Roman"/>
            <w:noProof/>
            <w:sz w:val="24"/>
          </w:rPr>
          <w:t>1</w:t>
        </w:r>
        <w:r w:rsidRPr="002570AE">
          <w:rPr>
            <w:rFonts w:ascii="Times New Roman" w:hAnsi="Times New Roman" w:cs="Times New Roman"/>
            <w:noProof/>
            <w:sz w:val="24"/>
          </w:rPr>
          <w:fldChar w:fldCharType="end"/>
        </w:r>
      </w:p>
    </w:sdtContent>
  </w:sdt>
  <w:p w14:paraId="1CC43AEF" w14:textId="77777777" w:rsidR="0049674D" w:rsidRDefault="004967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5604368"/>
      <w:docPartObj>
        <w:docPartGallery w:val="Page Numbers (Bottom of Page)"/>
        <w:docPartUnique/>
      </w:docPartObj>
    </w:sdtPr>
    <w:sdtEndPr>
      <w:rPr>
        <w:rFonts w:ascii="Times New Roman" w:hAnsi="Times New Roman" w:cs="Times New Roman"/>
        <w:noProof/>
        <w:sz w:val="24"/>
      </w:rPr>
    </w:sdtEndPr>
    <w:sdtContent>
      <w:p w14:paraId="512065FD" w14:textId="787C5D44"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A113D1">
          <w:rPr>
            <w:rFonts w:ascii="Times New Roman" w:hAnsi="Times New Roman" w:cs="Times New Roman"/>
            <w:noProof/>
            <w:sz w:val="24"/>
          </w:rPr>
          <w:t>55</w:t>
        </w:r>
        <w:r w:rsidRPr="002570AE">
          <w:rPr>
            <w:rFonts w:ascii="Times New Roman" w:hAnsi="Times New Roman" w:cs="Times New Roman"/>
            <w:noProof/>
            <w:sz w:val="24"/>
          </w:rPr>
          <w:fldChar w:fldCharType="end"/>
        </w:r>
      </w:p>
    </w:sdtContent>
  </w:sdt>
  <w:p w14:paraId="62F57B1E" w14:textId="77777777" w:rsidR="0049674D" w:rsidRDefault="00496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1BAAB" w14:textId="77777777" w:rsidR="00AF6AE9" w:rsidRDefault="00AF6AE9" w:rsidP="0020397D">
      <w:r>
        <w:separator/>
      </w:r>
    </w:p>
  </w:footnote>
  <w:footnote w:type="continuationSeparator" w:id="0">
    <w:p w14:paraId="6661C9F9" w14:textId="77777777" w:rsidR="00AF6AE9" w:rsidRDefault="00AF6AE9" w:rsidP="0020397D">
      <w:r>
        <w:continuationSeparator/>
      </w:r>
    </w:p>
  </w:footnote>
  <w:footnote w:id="1">
    <w:p w14:paraId="2F09400B" w14:textId="53850737" w:rsidR="0049674D" w:rsidRDefault="0049674D" w:rsidP="004E4E38">
      <w:pPr>
        <w:pStyle w:val="FootnoteText"/>
      </w:pPr>
      <w:r w:rsidRPr="0090208D">
        <w:rPr>
          <w:rStyle w:val="FootnoteReference"/>
          <w:rFonts w:ascii="Times New Roman" w:hAnsi="Times New Roman" w:cs="Times New Roman"/>
        </w:rPr>
        <w:footnoteRef/>
      </w:r>
      <w:r w:rsidRPr="0090208D">
        <w:rPr>
          <w:rFonts w:ascii="Times New Roman" w:hAnsi="Times New Roman" w:cs="Times New Roman"/>
        </w:rPr>
        <w:t xml:space="preserve"> </w:t>
      </w:r>
      <w:r>
        <w:rPr>
          <w:rFonts w:ascii="Times New Roman" w:hAnsi="Times New Roman" w:cs="Times New Roman"/>
        </w:rPr>
        <w:t xml:space="preserve">As anecdotal evidence, </w:t>
      </w:r>
      <w:r w:rsidRPr="0090208D">
        <w:rPr>
          <w:rFonts w:ascii="Times New Roman" w:hAnsi="Times New Roman" w:cs="Times New Roman"/>
        </w:rPr>
        <w:t xml:space="preserve">SEC Commissioner Kara Stein </w:t>
      </w:r>
      <w:r>
        <w:rPr>
          <w:rFonts w:ascii="Times New Roman" w:hAnsi="Times New Roman" w:cs="Times New Roman"/>
        </w:rPr>
        <w:t xml:space="preserve">speaks </w:t>
      </w:r>
      <w:r w:rsidRPr="0090208D">
        <w:rPr>
          <w:rFonts w:ascii="Times New Roman" w:hAnsi="Times New Roman" w:cs="Times New Roman"/>
        </w:rPr>
        <w:t xml:space="preserve">to the Council of Institutional Investors, in which she articulated the need for improved disclosures </w:t>
      </w:r>
      <w:r>
        <w:rPr>
          <w:rFonts w:ascii="Times New Roman" w:hAnsi="Times New Roman" w:cs="Times New Roman"/>
        </w:rPr>
        <w:t>in terms of</w:t>
      </w:r>
      <w:r w:rsidRPr="0090208D">
        <w:rPr>
          <w:rFonts w:ascii="Times New Roman" w:hAnsi="Times New Roman" w:cs="Times New Roman"/>
        </w:rPr>
        <w:t xml:space="preserve"> what has been deferred or delayed because of the debate about </w:t>
      </w:r>
      <w:r>
        <w:rPr>
          <w:rFonts w:ascii="Times New Roman" w:hAnsi="Times New Roman" w:cs="Times New Roman"/>
        </w:rPr>
        <w:t xml:space="preserve">whether and </w:t>
      </w:r>
      <w:r w:rsidRPr="0090208D">
        <w:rPr>
          <w:rFonts w:ascii="Times New Roman" w:hAnsi="Times New Roman" w:cs="Times New Roman"/>
        </w:rPr>
        <w:t xml:space="preserve">where forward-looking </w:t>
      </w:r>
      <w:r>
        <w:rPr>
          <w:rFonts w:ascii="Times New Roman" w:hAnsi="Times New Roman" w:cs="Times New Roman"/>
        </w:rPr>
        <w:t xml:space="preserve">information should be disclosed, available at </w:t>
      </w:r>
      <w:r w:rsidRPr="0090208D">
        <w:rPr>
          <w:rFonts w:ascii="Times New Roman" w:hAnsi="Times New Roman" w:cs="Times New Roman"/>
        </w:rPr>
        <w:t>ww</w:t>
      </w:r>
      <w:r>
        <w:rPr>
          <w:rFonts w:ascii="Times New Roman" w:hAnsi="Times New Roman" w:cs="Times New Roman"/>
        </w:rPr>
        <w:t>w.sec.gov/News/</w:t>
      </w:r>
      <w:r w:rsidRPr="0090208D">
        <w:rPr>
          <w:rFonts w:ascii="Times New Roman" w:hAnsi="Times New Roman" w:cs="Times New Roman"/>
        </w:rPr>
        <w:t>Speech/Detail/Speech/1370541764008.</w:t>
      </w:r>
      <w:r>
        <w:rPr>
          <w:rFonts w:ascii="Times New Roman" w:hAnsi="Times New Roman" w:cs="Times New Roman"/>
        </w:rPr>
        <w:t xml:space="preserve"> See </w:t>
      </w:r>
      <w:r w:rsidRPr="0090208D">
        <w:rPr>
          <w:rFonts w:ascii="Times New Roman" w:hAnsi="Times New Roman" w:cs="Times New Roman"/>
        </w:rPr>
        <w:t>“Remarks to the Council of Institutional Investors” (8 May 2014)</w:t>
      </w:r>
      <w:r>
        <w:rPr>
          <w:rFonts w:ascii="Times New Roman" w:hAnsi="Times New Roman" w:cs="Times New Roman"/>
        </w:rPr>
        <w:t xml:space="preserve"> by Kara M Stein.   </w:t>
      </w:r>
    </w:p>
  </w:footnote>
  <w:footnote w:id="2">
    <w:p w14:paraId="69404A09" w14:textId="77777777" w:rsidR="00372D32" w:rsidRPr="00006B04" w:rsidRDefault="00372D32" w:rsidP="00372D32">
      <w:pPr>
        <w:pStyle w:val="FootnoteText"/>
        <w:rPr>
          <w:rFonts w:ascii="Times New Roman" w:hAnsi="Times New Roman" w:cs="Times New Roman"/>
        </w:rPr>
      </w:pPr>
      <w:r w:rsidRPr="00006B04">
        <w:rPr>
          <w:rStyle w:val="FootnoteReference"/>
          <w:rFonts w:ascii="Times New Roman" w:hAnsi="Times New Roman" w:cs="Times New Roman"/>
        </w:rPr>
        <w:footnoteRef/>
      </w:r>
      <w:r w:rsidRPr="00006B04">
        <w:rPr>
          <w:rFonts w:ascii="Times New Roman" w:hAnsi="Times New Roman" w:cs="Times New Roman"/>
        </w:rPr>
        <w:t xml:space="preserve"> See “Endogeneity” in Section 4 for further discussion. </w:t>
      </w:r>
    </w:p>
  </w:footnote>
  <w:footnote w:id="3">
    <w:p w14:paraId="062C20FF" w14:textId="5274AB9E" w:rsidR="0049674D" w:rsidRPr="00E03F34" w:rsidRDefault="0049674D" w:rsidP="00C24CCA">
      <w:pPr>
        <w:pStyle w:val="FootnoteText"/>
        <w:rPr>
          <w:rFonts w:ascii="Times New Roman" w:hAnsi="Times New Roman" w:cs="Times New Roman"/>
        </w:rPr>
      </w:pPr>
      <w:r w:rsidRPr="00E03F34">
        <w:rPr>
          <w:rStyle w:val="FootnoteReference"/>
          <w:rFonts w:ascii="Times New Roman" w:hAnsi="Times New Roman" w:cs="Times New Roman"/>
        </w:rPr>
        <w:footnoteRef/>
      </w:r>
      <w:r>
        <w:rPr>
          <w:rFonts w:ascii="Times New Roman" w:hAnsi="Times New Roman" w:cs="Times New Roman"/>
        </w:rPr>
        <w:t xml:space="preserve"> Although p</w:t>
      </w:r>
      <w:r w:rsidRPr="00E03F34">
        <w:rPr>
          <w:rFonts w:ascii="Times New Roman" w:hAnsi="Times New Roman" w:cs="Times New Roman"/>
        </w:rPr>
        <w:t>rior literature has raised concerns about the bias in the Basu (1997) measure (see, e.g., Dietrich, Muller, and Riedl 2007; Givoly et al. 2007; Pa</w:t>
      </w:r>
      <w:r>
        <w:rPr>
          <w:rFonts w:ascii="Times New Roman" w:hAnsi="Times New Roman" w:cs="Times New Roman"/>
        </w:rPr>
        <w:t xml:space="preserve">tatoukas and Thomas 2011, 2016), </w:t>
      </w:r>
      <w:r w:rsidRPr="00E03F34">
        <w:rPr>
          <w:rFonts w:ascii="Times New Roman" w:hAnsi="Times New Roman" w:cs="Times New Roman"/>
        </w:rPr>
        <w:t xml:space="preserve">these studies are countered by evidence that Basu’s coefficient is useful in detecting variations in conservatism in settings where theory suggests conservatism </w:t>
      </w:r>
      <w:r w:rsidRPr="00E03F34">
        <w:rPr>
          <w:rFonts w:ascii="Times New Roman" w:hAnsi="Times New Roman" w:cs="Times New Roman"/>
          <w:i/>
        </w:rPr>
        <w:t>does</w:t>
      </w:r>
      <w:r w:rsidRPr="00E03F34">
        <w:rPr>
          <w:rFonts w:ascii="Times New Roman" w:hAnsi="Times New Roman" w:cs="Times New Roman"/>
        </w:rPr>
        <w:t xml:space="preserve"> exist (Ettredge et al. 2012; Ball et al. 2013).</w:t>
      </w:r>
    </w:p>
  </w:footnote>
  <w:footnote w:id="4">
    <w:p w14:paraId="20729544" w14:textId="77777777" w:rsidR="0049674D" w:rsidRPr="00F17440" w:rsidRDefault="0049674D" w:rsidP="000C2B6F">
      <w:pPr>
        <w:pStyle w:val="FootnoteText"/>
        <w:rPr>
          <w:rFonts w:ascii="Times New Roman" w:hAnsi="Times New Roman" w:cs="Times New Roman"/>
        </w:rPr>
      </w:pPr>
      <w:r w:rsidRPr="00F17440">
        <w:rPr>
          <w:rStyle w:val="FootnoteReference"/>
          <w:rFonts w:ascii="Times New Roman" w:hAnsi="Times New Roman" w:cs="Times New Roman"/>
        </w:rPr>
        <w:footnoteRef/>
      </w:r>
      <w:r w:rsidRPr="00F17440">
        <w:rPr>
          <w:rFonts w:ascii="Times New Roman" w:hAnsi="Times New Roman" w:cs="Times New Roman"/>
        </w:rPr>
        <w:t xml:space="preserve"> </w:t>
      </w:r>
      <w:r>
        <w:rPr>
          <w:rFonts w:ascii="Times New Roman" w:hAnsi="Times New Roman" w:cs="Times New Roman"/>
        </w:rPr>
        <w:t>A</w:t>
      </w:r>
      <w:r w:rsidRPr="00F17440">
        <w:rPr>
          <w:rFonts w:ascii="Times New Roman" w:hAnsi="Times New Roman" w:cs="Times New Roman"/>
        </w:rPr>
        <w:t xml:space="preserve">lmost </w:t>
      </w:r>
      <w:r w:rsidRPr="00F17440">
        <w:rPr>
          <w:rFonts w:ascii="Times New Roman" w:eastAsia="Times New Roman" w:hAnsi="Times New Roman" w:cs="Times New Roman"/>
          <w:color w:val="000000"/>
        </w:rPr>
        <w:t xml:space="preserve">all of (99%) the conference calls include at least one forward-looking statement in the </w:t>
      </w:r>
      <w:r>
        <w:rPr>
          <w:rFonts w:ascii="Times New Roman" w:eastAsia="Times New Roman" w:hAnsi="Times New Roman" w:cs="Times New Roman"/>
          <w:color w:val="000000"/>
        </w:rPr>
        <w:t>conference call, a</w:t>
      </w:r>
      <w:r w:rsidRPr="00F17440">
        <w:rPr>
          <w:rFonts w:ascii="Times New Roman" w:hAnsi="Times New Roman" w:cs="Times New Roman"/>
        </w:rPr>
        <w:t xml:space="preserve">s more details </w:t>
      </w:r>
      <w:r>
        <w:rPr>
          <w:rFonts w:ascii="Times New Roman" w:hAnsi="Times New Roman" w:cs="Times New Roman"/>
        </w:rPr>
        <w:t xml:space="preserve">are discussed in Section 4. </w:t>
      </w:r>
    </w:p>
  </w:footnote>
  <w:footnote w:id="5">
    <w:p w14:paraId="12BFF319" w14:textId="49FB16A9" w:rsidR="0049674D" w:rsidRPr="00293529" w:rsidRDefault="0049674D">
      <w:pPr>
        <w:pStyle w:val="FootnoteText"/>
        <w:rPr>
          <w:rFonts w:ascii="Times New Roman" w:hAnsi="Times New Roman" w:cs="Times New Roman"/>
        </w:rPr>
      </w:pPr>
      <w:r w:rsidRPr="00293529">
        <w:rPr>
          <w:rStyle w:val="FootnoteReference"/>
          <w:rFonts w:ascii="Times New Roman" w:hAnsi="Times New Roman" w:cs="Times New Roman"/>
        </w:rPr>
        <w:footnoteRef/>
      </w:r>
      <w:r w:rsidRPr="00293529">
        <w:rPr>
          <w:rFonts w:ascii="Times New Roman" w:hAnsi="Times New Roman" w:cs="Times New Roman"/>
        </w:rPr>
        <w:t xml:space="preserve"> See Matsumoto et al. (2011, p1408): “… because of the way the data are computed, we are unable to cross the two attributes—that is, we cannot measure the extent of financial backward-looking information versus financial forward-looking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6E472" w14:textId="20D1BD75" w:rsidR="0049674D" w:rsidRDefault="0049674D">
    <w:pPr>
      <w:pStyle w:val="Header"/>
    </w:pPr>
  </w:p>
  <w:p w14:paraId="26B8883B" w14:textId="4F57CBDF" w:rsidR="0049674D" w:rsidRDefault="00496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009D7"/>
    <w:multiLevelType w:val="hybridMultilevel"/>
    <w:tmpl w:val="5AE8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0178E6"/>
    <w:multiLevelType w:val="multilevel"/>
    <w:tmpl w:val="A808F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CAA15AF"/>
    <w:multiLevelType w:val="multilevel"/>
    <w:tmpl w:val="9E28F7A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FD75F14"/>
    <w:multiLevelType w:val="hybridMultilevel"/>
    <w:tmpl w:val="DB806AE8"/>
    <w:lvl w:ilvl="0" w:tplc="CCB25EEC">
      <w:start w:val="4"/>
      <w:numFmt w:val="bullet"/>
      <w:lvlText w:val="-"/>
      <w:lvlJc w:val="left"/>
      <w:pPr>
        <w:ind w:left="6120" w:hanging="360"/>
      </w:pPr>
      <w:rPr>
        <w:rFonts w:ascii="Times New Roman" w:eastAsiaTheme="minorEastAsia"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15:restartNumberingAfterBreak="0">
    <w:nsid w:val="40F652CB"/>
    <w:multiLevelType w:val="hybridMultilevel"/>
    <w:tmpl w:val="C786D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1D3B7E"/>
    <w:multiLevelType w:val="hybridMultilevel"/>
    <w:tmpl w:val="471422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FFB7A2D"/>
    <w:multiLevelType w:val="hybridMultilevel"/>
    <w:tmpl w:val="79622B80"/>
    <w:lvl w:ilvl="0" w:tplc="BB122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0AA30E8"/>
    <w:multiLevelType w:val="hybridMultilevel"/>
    <w:tmpl w:val="4A9A80A8"/>
    <w:lvl w:ilvl="0" w:tplc="CFC68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3D1276"/>
    <w:multiLevelType w:val="hybridMultilevel"/>
    <w:tmpl w:val="D71AA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5D0B4E"/>
    <w:multiLevelType w:val="hybridMultilevel"/>
    <w:tmpl w:val="C50E5886"/>
    <w:lvl w:ilvl="0" w:tplc="19BC8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D95AEE"/>
    <w:multiLevelType w:val="hybridMultilevel"/>
    <w:tmpl w:val="85E8A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73290F"/>
    <w:multiLevelType w:val="hybridMultilevel"/>
    <w:tmpl w:val="AAC61448"/>
    <w:lvl w:ilvl="0" w:tplc="BAB2F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1B49BC"/>
    <w:multiLevelType w:val="hybridMultilevel"/>
    <w:tmpl w:val="3A6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
  </w:num>
  <w:num w:numId="11">
    <w:abstractNumId w:val="4"/>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A9"/>
    <w:rsid w:val="000014D3"/>
    <w:rsid w:val="00004400"/>
    <w:rsid w:val="00006B04"/>
    <w:rsid w:val="000105F2"/>
    <w:rsid w:val="00021E36"/>
    <w:rsid w:val="00036831"/>
    <w:rsid w:val="00040B4A"/>
    <w:rsid w:val="000507EA"/>
    <w:rsid w:val="00050B82"/>
    <w:rsid w:val="00054208"/>
    <w:rsid w:val="0005542B"/>
    <w:rsid w:val="000630AA"/>
    <w:rsid w:val="00072715"/>
    <w:rsid w:val="000738A4"/>
    <w:rsid w:val="0007774D"/>
    <w:rsid w:val="000848EF"/>
    <w:rsid w:val="000930C5"/>
    <w:rsid w:val="000B2D5E"/>
    <w:rsid w:val="000B539B"/>
    <w:rsid w:val="000B567A"/>
    <w:rsid w:val="000C2B6F"/>
    <w:rsid w:val="000C52DB"/>
    <w:rsid w:val="000C7B7E"/>
    <w:rsid w:val="000D4821"/>
    <w:rsid w:val="000D51E5"/>
    <w:rsid w:val="000E2DD3"/>
    <w:rsid w:val="000E6734"/>
    <w:rsid w:val="000F1D3C"/>
    <w:rsid w:val="000F3DFA"/>
    <w:rsid w:val="00111A10"/>
    <w:rsid w:val="00115140"/>
    <w:rsid w:val="00136E0C"/>
    <w:rsid w:val="00140C0C"/>
    <w:rsid w:val="00145CF7"/>
    <w:rsid w:val="001505E8"/>
    <w:rsid w:val="001622EB"/>
    <w:rsid w:val="0016655E"/>
    <w:rsid w:val="00176626"/>
    <w:rsid w:val="00181AFD"/>
    <w:rsid w:val="00182A8C"/>
    <w:rsid w:val="00184188"/>
    <w:rsid w:val="001902AA"/>
    <w:rsid w:val="001A1B7F"/>
    <w:rsid w:val="001A594B"/>
    <w:rsid w:val="001B346B"/>
    <w:rsid w:val="001B7DC6"/>
    <w:rsid w:val="001C404A"/>
    <w:rsid w:val="001C728D"/>
    <w:rsid w:val="001D2E60"/>
    <w:rsid w:val="001D3415"/>
    <w:rsid w:val="001D68E8"/>
    <w:rsid w:val="001E1982"/>
    <w:rsid w:val="001E4E11"/>
    <w:rsid w:val="001E6E30"/>
    <w:rsid w:val="001F6C84"/>
    <w:rsid w:val="0020397D"/>
    <w:rsid w:val="00212C22"/>
    <w:rsid w:val="00212C3B"/>
    <w:rsid w:val="0021411A"/>
    <w:rsid w:val="00217C95"/>
    <w:rsid w:val="00221CBA"/>
    <w:rsid w:val="00222920"/>
    <w:rsid w:val="00236EA5"/>
    <w:rsid w:val="00245E11"/>
    <w:rsid w:val="00254164"/>
    <w:rsid w:val="002570AE"/>
    <w:rsid w:val="002617FF"/>
    <w:rsid w:val="00261C1A"/>
    <w:rsid w:val="00262A72"/>
    <w:rsid w:val="002767F4"/>
    <w:rsid w:val="00282DAC"/>
    <w:rsid w:val="002835F1"/>
    <w:rsid w:val="002930CF"/>
    <w:rsid w:val="00293529"/>
    <w:rsid w:val="00297585"/>
    <w:rsid w:val="002A0094"/>
    <w:rsid w:val="002A122B"/>
    <w:rsid w:val="002A17DE"/>
    <w:rsid w:val="002B1D1B"/>
    <w:rsid w:val="002B6E03"/>
    <w:rsid w:val="002C0205"/>
    <w:rsid w:val="002C5725"/>
    <w:rsid w:val="002D0472"/>
    <w:rsid w:val="002D20CA"/>
    <w:rsid w:val="002D6932"/>
    <w:rsid w:val="002D7B5C"/>
    <w:rsid w:val="002D7FB6"/>
    <w:rsid w:val="002E1462"/>
    <w:rsid w:val="002E317E"/>
    <w:rsid w:val="002F3274"/>
    <w:rsid w:val="00303E5D"/>
    <w:rsid w:val="0030407A"/>
    <w:rsid w:val="00304B9B"/>
    <w:rsid w:val="00310DA2"/>
    <w:rsid w:val="0031454E"/>
    <w:rsid w:val="003205A3"/>
    <w:rsid w:val="003212BA"/>
    <w:rsid w:val="00322249"/>
    <w:rsid w:val="00324DA7"/>
    <w:rsid w:val="003253FB"/>
    <w:rsid w:val="00331CE3"/>
    <w:rsid w:val="003354AF"/>
    <w:rsid w:val="00340A17"/>
    <w:rsid w:val="0034546E"/>
    <w:rsid w:val="003528A3"/>
    <w:rsid w:val="00354809"/>
    <w:rsid w:val="003577B4"/>
    <w:rsid w:val="0036020B"/>
    <w:rsid w:val="003620CF"/>
    <w:rsid w:val="00372D32"/>
    <w:rsid w:val="003836AE"/>
    <w:rsid w:val="00387E1E"/>
    <w:rsid w:val="0039390E"/>
    <w:rsid w:val="00395048"/>
    <w:rsid w:val="00395BF4"/>
    <w:rsid w:val="00396939"/>
    <w:rsid w:val="00396B48"/>
    <w:rsid w:val="003A15CE"/>
    <w:rsid w:val="003A34C1"/>
    <w:rsid w:val="003A538D"/>
    <w:rsid w:val="003A542E"/>
    <w:rsid w:val="003B0540"/>
    <w:rsid w:val="003B1723"/>
    <w:rsid w:val="003C0712"/>
    <w:rsid w:val="003E1526"/>
    <w:rsid w:val="003E6563"/>
    <w:rsid w:val="003E7734"/>
    <w:rsid w:val="003F1806"/>
    <w:rsid w:val="003F2530"/>
    <w:rsid w:val="003F3D00"/>
    <w:rsid w:val="00404F8C"/>
    <w:rsid w:val="0040507C"/>
    <w:rsid w:val="00415CCC"/>
    <w:rsid w:val="00424A98"/>
    <w:rsid w:val="0042764D"/>
    <w:rsid w:val="00441325"/>
    <w:rsid w:val="004423D0"/>
    <w:rsid w:val="004655E1"/>
    <w:rsid w:val="004762AB"/>
    <w:rsid w:val="00476D12"/>
    <w:rsid w:val="0047741D"/>
    <w:rsid w:val="00490A6E"/>
    <w:rsid w:val="004956D4"/>
    <w:rsid w:val="0049674D"/>
    <w:rsid w:val="004A1A90"/>
    <w:rsid w:val="004A496B"/>
    <w:rsid w:val="004A606C"/>
    <w:rsid w:val="004B1ED6"/>
    <w:rsid w:val="004B2247"/>
    <w:rsid w:val="004B41A6"/>
    <w:rsid w:val="004B7765"/>
    <w:rsid w:val="004D09AC"/>
    <w:rsid w:val="004D4931"/>
    <w:rsid w:val="004E132D"/>
    <w:rsid w:val="004E4E38"/>
    <w:rsid w:val="004F32BA"/>
    <w:rsid w:val="004F4734"/>
    <w:rsid w:val="004F71F1"/>
    <w:rsid w:val="004F72BE"/>
    <w:rsid w:val="005023BF"/>
    <w:rsid w:val="00504F02"/>
    <w:rsid w:val="00514446"/>
    <w:rsid w:val="00520A6B"/>
    <w:rsid w:val="0052195E"/>
    <w:rsid w:val="00523E22"/>
    <w:rsid w:val="00534957"/>
    <w:rsid w:val="00540927"/>
    <w:rsid w:val="005432FB"/>
    <w:rsid w:val="00544E30"/>
    <w:rsid w:val="0055058F"/>
    <w:rsid w:val="00551799"/>
    <w:rsid w:val="00554753"/>
    <w:rsid w:val="00557F2B"/>
    <w:rsid w:val="00557F6B"/>
    <w:rsid w:val="00561141"/>
    <w:rsid w:val="00562334"/>
    <w:rsid w:val="00586563"/>
    <w:rsid w:val="005A2ACF"/>
    <w:rsid w:val="005A633B"/>
    <w:rsid w:val="005D33E7"/>
    <w:rsid w:val="005D7CB9"/>
    <w:rsid w:val="005E55E5"/>
    <w:rsid w:val="005F7C3C"/>
    <w:rsid w:val="00613FCE"/>
    <w:rsid w:val="00626E7F"/>
    <w:rsid w:val="006333FE"/>
    <w:rsid w:val="00640F8B"/>
    <w:rsid w:val="00643113"/>
    <w:rsid w:val="00650863"/>
    <w:rsid w:val="00650E8B"/>
    <w:rsid w:val="0065559A"/>
    <w:rsid w:val="0066320E"/>
    <w:rsid w:val="00670EF9"/>
    <w:rsid w:val="006827AD"/>
    <w:rsid w:val="00693952"/>
    <w:rsid w:val="0069638F"/>
    <w:rsid w:val="006A022D"/>
    <w:rsid w:val="006A1D8E"/>
    <w:rsid w:val="006A1EC5"/>
    <w:rsid w:val="006A513F"/>
    <w:rsid w:val="006A6A49"/>
    <w:rsid w:val="006B1960"/>
    <w:rsid w:val="006B47AE"/>
    <w:rsid w:val="006C3900"/>
    <w:rsid w:val="006C499E"/>
    <w:rsid w:val="006D6DF5"/>
    <w:rsid w:val="006F2144"/>
    <w:rsid w:val="006F4A73"/>
    <w:rsid w:val="006F58BC"/>
    <w:rsid w:val="006F7D05"/>
    <w:rsid w:val="00713906"/>
    <w:rsid w:val="00713A4D"/>
    <w:rsid w:val="00730AA2"/>
    <w:rsid w:val="007435F9"/>
    <w:rsid w:val="007473FD"/>
    <w:rsid w:val="00752429"/>
    <w:rsid w:val="007579BB"/>
    <w:rsid w:val="00761DED"/>
    <w:rsid w:val="00763C65"/>
    <w:rsid w:val="00766221"/>
    <w:rsid w:val="007708C2"/>
    <w:rsid w:val="00770AD2"/>
    <w:rsid w:val="0077520D"/>
    <w:rsid w:val="0077674F"/>
    <w:rsid w:val="00786E28"/>
    <w:rsid w:val="00792F71"/>
    <w:rsid w:val="00795992"/>
    <w:rsid w:val="007A00F1"/>
    <w:rsid w:val="007A7ECB"/>
    <w:rsid w:val="007B13F6"/>
    <w:rsid w:val="007B2363"/>
    <w:rsid w:val="007C456B"/>
    <w:rsid w:val="007D42EB"/>
    <w:rsid w:val="007E1F6E"/>
    <w:rsid w:val="007E3D69"/>
    <w:rsid w:val="007F238D"/>
    <w:rsid w:val="007F5631"/>
    <w:rsid w:val="007F75CE"/>
    <w:rsid w:val="008042FB"/>
    <w:rsid w:val="00814F6F"/>
    <w:rsid w:val="00820DCF"/>
    <w:rsid w:val="008326D6"/>
    <w:rsid w:val="00832FE6"/>
    <w:rsid w:val="0083594C"/>
    <w:rsid w:val="00836DF6"/>
    <w:rsid w:val="00841A68"/>
    <w:rsid w:val="00842447"/>
    <w:rsid w:val="008458D9"/>
    <w:rsid w:val="008507EA"/>
    <w:rsid w:val="0085080A"/>
    <w:rsid w:val="00851392"/>
    <w:rsid w:val="0086244A"/>
    <w:rsid w:val="008636B8"/>
    <w:rsid w:val="0086646F"/>
    <w:rsid w:val="0087040B"/>
    <w:rsid w:val="008836A7"/>
    <w:rsid w:val="00891B7C"/>
    <w:rsid w:val="00894C62"/>
    <w:rsid w:val="008972C5"/>
    <w:rsid w:val="008A0AD6"/>
    <w:rsid w:val="008A68FF"/>
    <w:rsid w:val="008B59D2"/>
    <w:rsid w:val="008B7106"/>
    <w:rsid w:val="008B7CDF"/>
    <w:rsid w:val="008C3ECD"/>
    <w:rsid w:val="008C42B8"/>
    <w:rsid w:val="008C7456"/>
    <w:rsid w:val="008D28FE"/>
    <w:rsid w:val="008D3116"/>
    <w:rsid w:val="008E26FA"/>
    <w:rsid w:val="008E2A08"/>
    <w:rsid w:val="008F2CC1"/>
    <w:rsid w:val="0090208D"/>
    <w:rsid w:val="00911F48"/>
    <w:rsid w:val="009230D6"/>
    <w:rsid w:val="0093206E"/>
    <w:rsid w:val="009468A9"/>
    <w:rsid w:val="00951483"/>
    <w:rsid w:val="00956249"/>
    <w:rsid w:val="00960F55"/>
    <w:rsid w:val="00961E66"/>
    <w:rsid w:val="009671F1"/>
    <w:rsid w:val="009704BE"/>
    <w:rsid w:val="009732FF"/>
    <w:rsid w:val="009746E7"/>
    <w:rsid w:val="00975C47"/>
    <w:rsid w:val="0097751A"/>
    <w:rsid w:val="00985A86"/>
    <w:rsid w:val="00986C91"/>
    <w:rsid w:val="00994E74"/>
    <w:rsid w:val="009A0215"/>
    <w:rsid w:val="009A0524"/>
    <w:rsid w:val="009B01DC"/>
    <w:rsid w:val="009B2369"/>
    <w:rsid w:val="009B296C"/>
    <w:rsid w:val="009B3CFB"/>
    <w:rsid w:val="009B40C3"/>
    <w:rsid w:val="009B59FF"/>
    <w:rsid w:val="009B771C"/>
    <w:rsid w:val="009D41C2"/>
    <w:rsid w:val="009D4261"/>
    <w:rsid w:val="009D4E96"/>
    <w:rsid w:val="009E012C"/>
    <w:rsid w:val="009E0703"/>
    <w:rsid w:val="009F6605"/>
    <w:rsid w:val="00A0720B"/>
    <w:rsid w:val="00A103AC"/>
    <w:rsid w:val="00A10528"/>
    <w:rsid w:val="00A113D1"/>
    <w:rsid w:val="00A11F82"/>
    <w:rsid w:val="00A12A02"/>
    <w:rsid w:val="00A15615"/>
    <w:rsid w:val="00A23A37"/>
    <w:rsid w:val="00A25D39"/>
    <w:rsid w:val="00A318CD"/>
    <w:rsid w:val="00A35689"/>
    <w:rsid w:val="00A43F99"/>
    <w:rsid w:val="00A50DC5"/>
    <w:rsid w:val="00A51398"/>
    <w:rsid w:val="00A52B74"/>
    <w:rsid w:val="00A55964"/>
    <w:rsid w:val="00A561B1"/>
    <w:rsid w:val="00A60E88"/>
    <w:rsid w:val="00A6566B"/>
    <w:rsid w:val="00A67702"/>
    <w:rsid w:val="00A7296E"/>
    <w:rsid w:val="00A73BAA"/>
    <w:rsid w:val="00A74011"/>
    <w:rsid w:val="00A740C6"/>
    <w:rsid w:val="00A7411F"/>
    <w:rsid w:val="00A769B9"/>
    <w:rsid w:val="00A87FA6"/>
    <w:rsid w:val="00A90F1C"/>
    <w:rsid w:val="00A924C8"/>
    <w:rsid w:val="00A93C43"/>
    <w:rsid w:val="00A943A0"/>
    <w:rsid w:val="00AA0304"/>
    <w:rsid w:val="00AC2CAE"/>
    <w:rsid w:val="00AC42AF"/>
    <w:rsid w:val="00AC6D5E"/>
    <w:rsid w:val="00AC7F6F"/>
    <w:rsid w:val="00AF1AAA"/>
    <w:rsid w:val="00AF5510"/>
    <w:rsid w:val="00AF5E56"/>
    <w:rsid w:val="00AF6AE9"/>
    <w:rsid w:val="00AF788B"/>
    <w:rsid w:val="00B00607"/>
    <w:rsid w:val="00B04514"/>
    <w:rsid w:val="00B049C7"/>
    <w:rsid w:val="00B12434"/>
    <w:rsid w:val="00B12D9A"/>
    <w:rsid w:val="00B13DE6"/>
    <w:rsid w:val="00B14ECE"/>
    <w:rsid w:val="00B16B8E"/>
    <w:rsid w:val="00B23844"/>
    <w:rsid w:val="00B25109"/>
    <w:rsid w:val="00B3098A"/>
    <w:rsid w:val="00B31340"/>
    <w:rsid w:val="00B32CC9"/>
    <w:rsid w:val="00B41DA7"/>
    <w:rsid w:val="00B41E9D"/>
    <w:rsid w:val="00B5745B"/>
    <w:rsid w:val="00B64911"/>
    <w:rsid w:val="00B72B43"/>
    <w:rsid w:val="00B73B54"/>
    <w:rsid w:val="00B73D40"/>
    <w:rsid w:val="00B7604B"/>
    <w:rsid w:val="00B77AA7"/>
    <w:rsid w:val="00B9543D"/>
    <w:rsid w:val="00BA1C31"/>
    <w:rsid w:val="00BA1E53"/>
    <w:rsid w:val="00BA4A6F"/>
    <w:rsid w:val="00BA4FB7"/>
    <w:rsid w:val="00BA66BF"/>
    <w:rsid w:val="00BA68C8"/>
    <w:rsid w:val="00BB31F4"/>
    <w:rsid w:val="00BB5A54"/>
    <w:rsid w:val="00BC29F9"/>
    <w:rsid w:val="00BC2DF1"/>
    <w:rsid w:val="00BD3AF0"/>
    <w:rsid w:val="00BD652B"/>
    <w:rsid w:val="00BE010D"/>
    <w:rsid w:val="00BF322B"/>
    <w:rsid w:val="00BF6714"/>
    <w:rsid w:val="00C00574"/>
    <w:rsid w:val="00C03A1E"/>
    <w:rsid w:val="00C03A70"/>
    <w:rsid w:val="00C06D4E"/>
    <w:rsid w:val="00C12AC6"/>
    <w:rsid w:val="00C13AAE"/>
    <w:rsid w:val="00C175AE"/>
    <w:rsid w:val="00C17E4D"/>
    <w:rsid w:val="00C2436D"/>
    <w:rsid w:val="00C24CCA"/>
    <w:rsid w:val="00C25981"/>
    <w:rsid w:val="00C4355A"/>
    <w:rsid w:val="00C449AF"/>
    <w:rsid w:val="00C44DA6"/>
    <w:rsid w:val="00C452A8"/>
    <w:rsid w:val="00C63C7E"/>
    <w:rsid w:val="00C7284C"/>
    <w:rsid w:val="00C72C56"/>
    <w:rsid w:val="00C73908"/>
    <w:rsid w:val="00C73F55"/>
    <w:rsid w:val="00C77AED"/>
    <w:rsid w:val="00C83595"/>
    <w:rsid w:val="00C92771"/>
    <w:rsid w:val="00CA1420"/>
    <w:rsid w:val="00CA14C0"/>
    <w:rsid w:val="00CA4B77"/>
    <w:rsid w:val="00CA6351"/>
    <w:rsid w:val="00CA7713"/>
    <w:rsid w:val="00CB15B7"/>
    <w:rsid w:val="00CB1DCA"/>
    <w:rsid w:val="00CB37E2"/>
    <w:rsid w:val="00CC1A29"/>
    <w:rsid w:val="00CC2A67"/>
    <w:rsid w:val="00CC4ABD"/>
    <w:rsid w:val="00CC5251"/>
    <w:rsid w:val="00CC5C3F"/>
    <w:rsid w:val="00CE3EBF"/>
    <w:rsid w:val="00CE4E79"/>
    <w:rsid w:val="00CE609E"/>
    <w:rsid w:val="00CF1C94"/>
    <w:rsid w:val="00CF4CEA"/>
    <w:rsid w:val="00CF58F5"/>
    <w:rsid w:val="00D0045C"/>
    <w:rsid w:val="00D05FF8"/>
    <w:rsid w:val="00D231D5"/>
    <w:rsid w:val="00D233E4"/>
    <w:rsid w:val="00D338B4"/>
    <w:rsid w:val="00D36A25"/>
    <w:rsid w:val="00D44767"/>
    <w:rsid w:val="00D4616E"/>
    <w:rsid w:val="00D60021"/>
    <w:rsid w:val="00D63216"/>
    <w:rsid w:val="00D64E03"/>
    <w:rsid w:val="00D6647B"/>
    <w:rsid w:val="00D67E68"/>
    <w:rsid w:val="00D7037F"/>
    <w:rsid w:val="00D72F9B"/>
    <w:rsid w:val="00D758F6"/>
    <w:rsid w:val="00D775C1"/>
    <w:rsid w:val="00DA634D"/>
    <w:rsid w:val="00DB0165"/>
    <w:rsid w:val="00DB338F"/>
    <w:rsid w:val="00DC15A8"/>
    <w:rsid w:val="00DC5D0F"/>
    <w:rsid w:val="00DC7853"/>
    <w:rsid w:val="00DD47EB"/>
    <w:rsid w:val="00DE359E"/>
    <w:rsid w:val="00DE6DAC"/>
    <w:rsid w:val="00DF1F72"/>
    <w:rsid w:val="00DF26D8"/>
    <w:rsid w:val="00DF4899"/>
    <w:rsid w:val="00DF7453"/>
    <w:rsid w:val="00E00928"/>
    <w:rsid w:val="00E03EFD"/>
    <w:rsid w:val="00E07314"/>
    <w:rsid w:val="00E10F2E"/>
    <w:rsid w:val="00E2168B"/>
    <w:rsid w:val="00E255EB"/>
    <w:rsid w:val="00E25AE5"/>
    <w:rsid w:val="00E307B8"/>
    <w:rsid w:val="00E45F33"/>
    <w:rsid w:val="00E50386"/>
    <w:rsid w:val="00E515A9"/>
    <w:rsid w:val="00E5556E"/>
    <w:rsid w:val="00E601BE"/>
    <w:rsid w:val="00E6637F"/>
    <w:rsid w:val="00E6765F"/>
    <w:rsid w:val="00E70B3F"/>
    <w:rsid w:val="00E70D81"/>
    <w:rsid w:val="00E712B3"/>
    <w:rsid w:val="00E7596B"/>
    <w:rsid w:val="00E767AD"/>
    <w:rsid w:val="00E811F4"/>
    <w:rsid w:val="00E81DAE"/>
    <w:rsid w:val="00E86606"/>
    <w:rsid w:val="00EA2F46"/>
    <w:rsid w:val="00EB28F4"/>
    <w:rsid w:val="00EC21FB"/>
    <w:rsid w:val="00EC7F81"/>
    <w:rsid w:val="00ED1806"/>
    <w:rsid w:val="00ED28BB"/>
    <w:rsid w:val="00EE0DB9"/>
    <w:rsid w:val="00EE199B"/>
    <w:rsid w:val="00EE337E"/>
    <w:rsid w:val="00EE7683"/>
    <w:rsid w:val="00EF3605"/>
    <w:rsid w:val="00F073B4"/>
    <w:rsid w:val="00F157A5"/>
    <w:rsid w:val="00F16052"/>
    <w:rsid w:val="00F1622D"/>
    <w:rsid w:val="00F17440"/>
    <w:rsid w:val="00F23760"/>
    <w:rsid w:val="00F24078"/>
    <w:rsid w:val="00F25954"/>
    <w:rsid w:val="00F27F89"/>
    <w:rsid w:val="00F317C0"/>
    <w:rsid w:val="00F37BDA"/>
    <w:rsid w:val="00F40825"/>
    <w:rsid w:val="00F45F4E"/>
    <w:rsid w:val="00F63A9C"/>
    <w:rsid w:val="00F83152"/>
    <w:rsid w:val="00F84F4E"/>
    <w:rsid w:val="00F97422"/>
    <w:rsid w:val="00FA0E81"/>
    <w:rsid w:val="00FA1695"/>
    <w:rsid w:val="00FA2FE6"/>
    <w:rsid w:val="00FA4325"/>
    <w:rsid w:val="00FA52E6"/>
    <w:rsid w:val="00FA579A"/>
    <w:rsid w:val="00FA59EC"/>
    <w:rsid w:val="00FB31FD"/>
    <w:rsid w:val="00FB4DFC"/>
    <w:rsid w:val="00FB5FEE"/>
    <w:rsid w:val="00FC3161"/>
    <w:rsid w:val="00FC3CF3"/>
    <w:rsid w:val="00FE110A"/>
    <w:rsid w:val="00FE48F3"/>
    <w:rsid w:val="00FE7302"/>
    <w:rsid w:val="00FF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221D"/>
  <w15:chartTrackingRefBased/>
  <w15:docId w15:val="{845EE52C-32CD-456D-B1CA-7DAB7E55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E96"/>
    <w:pPr>
      <w:spacing w:after="0" w:line="240" w:lineRule="auto"/>
    </w:pPr>
    <w:rPr>
      <w:rFonts w:ascii="Calibri" w:hAnsi="Calibri" w:cs="Calibri"/>
    </w:rPr>
  </w:style>
  <w:style w:type="paragraph" w:styleId="Heading2">
    <w:name w:val="heading 2"/>
    <w:basedOn w:val="Normal"/>
    <w:link w:val="Heading2Char"/>
    <w:uiPriority w:val="9"/>
    <w:qFormat/>
    <w:rsid w:val="00F8315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A4D"/>
    <w:pPr>
      <w:ind w:left="720"/>
    </w:pPr>
    <w:rPr>
      <w:rFonts w:asciiTheme="minorHAnsi" w:hAnsiTheme="minorHAnsi" w:cstheme="minorBidi"/>
    </w:rPr>
  </w:style>
  <w:style w:type="paragraph" w:styleId="Header">
    <w:name w:val="header"/>
    <w:basedOn w:val="Normal"/>
    <w:link w:val="HeaderChar"/>
    <w:uiPriority w:val="99"/>
    <w:unhideWhenUsed/>
    <w:rsid w:val="0020397D"/>
    <w:pPr>
      <w:tabs>
        <w:tab w:val="center" w:pos="4680"/>
        <w:tab w:val="right" w:pos="9360"/>
      </w:tabs>
    </w:pPr>
  </w:style>
  <w:style w:type="character" w:customStyle="1" w:styleId="HeaderChar">
    <w:name w:val="Header Char"/>
    <w:basedOn w:val="DefaultParagraphFont"/>
    <w:link w:val="Header"/>
    <w:uiPriority w:val="99"/>
    <w:rsid w:val="0020397D"/>
    <w:rPr>
      <w:rFonts w:ascii="Calibri" w:hAnsi="Calibri" w:cs="Calibri"/>
    </w:rPr>
  </w:style>
  <w:style w:type="paragraph" w:styleId="Footer">
    <w:name w:val="footer"/>
    <w:basedOn w:val="Normal"/>
    <w:link w:val="FooterChar"/>
    <w:uiPriority w:val="99"/>
    <w:unhideWhenUsed/>
    <w:rsid w:val="0020397D"/>
    <w:pPr>
      <w:tabs>
        <w:tab w:val="center" w:pos="4680"/>
        <w:tab w:val="right" w:pos="9360"/>
      </w:tabs>
    </w:pPr>
  </w:style>
  <w:style w:type="character" w:customStyle="1" w:styleId="FooterChar">
    <w:name w:val="Footer Char"/>
    <w:basedOn w:val="DefaultParagraphFont"/>
    <w:link w:val="Footer"/>
    <w:uiPriority w:val="99"/>
    <w:rsid w:val="0020397D"/>
    <w:rPr>
      <w:rFonts w:ascii="Calibri" w:hAnsi="Calibri" w:cs="Calibri"/>
    </w:rPr>
  </w:style>
  <w:style w:type="paragraph" w:styleId="FootnoteText">
    <w:name w:val="footnote text"/>
    <w:basedOn w:val="Normal"/>
    <w:link w:val="FootnoteTextChar"/>
    <w:uiPriority w:val="99"/>
    <w:unhideWhenUsed/>
    <w:rsid w:val="008042FB"/>
    <w:rPr>
      <w:sz w:val="20"/>
      <w:szCs w:val="20"/>
    </w:rPr>
  </w:style>
  <w:style w:type="character" w:customStyle="1" w:styleId="FootnoteTextChar">
    <w:name w:val="Footnote Text Char"/>
    <w:basedOn w:val="DefaultParagraphFont"/>
    <w:link w:val="FootnoteText"/>
    <w:uiPriority w:val="99"/>
    <w:rsid w:val="008042FB"/>
    <w:rPr>
      <w:rFonts w:ascii="Calibri" w:hAnsi="Calibri" w:cs="Calibri"/>
      <w:sz w:val="20"/>
      <w:szCs w:val="20"/>
    </w:rPr>
  </w:style>
  <w:style w:type="character" w:styleId="FootnoteReference">
    <w:name w:val="footnote reference"/>
    <w:basedOn w:val="DefaultParagraphFont"/>
    <w:uiPriority w:val="99"/>
    <w:semiHidden/>
    <w:unhideWhenUsed/>
    <w:rsid w:val="008042FB"/>
    <w:rPr>
      <w:vertAlign w:val="superscript"/>
    </w:rPr>
  </w:style>
  <w:style w:type="character" w:styleId="Hyperlink">
    <w:name w:val="Hyperlink"/>
    <w:basedOn w:val="DefaultParagraphFont"/>
    <w:uiPriority w:val="99"/>
    <w:unhideWhenUsed/>
    <w:rsid w:val="00A67702"/>
    <w:rPr>
      <w:color w:val="0000FF"/>
      <w:u w:val="single"/>
    </w:rPr>
  </w:style>
  <w:style w:type="character" w:styleId="Strong">
    <w:name w:val="Strong"/>
    <w:basedOn w:val="DefaultParagraphFont"/>
    <w:uiPriority w:val="22"/>
    <w:qFormat/>
    <w:rsid w:val="000D51E5"/>
    <w:rPr>
      <w:b/>
      <w:bCs/>
    </w:rPr>
  </w:style>
  <w:style w:type="character" w:styleId="HTMLCite">
    <w:name w:val="HTML Cite"/>
    <w:basedOn w:val="DefaultParagraphFont"/>
    <w:uiPriority w:val="99"/>
    <w:semiHidden/>
    <w:unhideWhenUsed/>
    <w:rsid w:val="00136E0C"/>
    <w:rPr>
      <w:i/>
      <w:iCs/>
    </w:rPr>
  </w:style>
  <w:style w:type="character" w:customStyle="1" w:styleId="Heading2Char">
    <w:name w:val="Heading 2 Char"/>
    <w:basedOn w:val="DefaultParagraphFont"/>
    <w:link w:val="Heading2"/>
    <w:uiPriority w:val="9"/>
    <w:rsid w:val="00F83152"/>
    <w:rPr>
      <w:rFonts w:ascii="Times New Roman" w:eastAsia="Times New Roman" w:hAnsi="Times New Roman" w:cs="Times New Roman"/>
      <w:b/>
      <w:bCs/>
      <w:sz w:val="36"/>
      <w:szCs w:val="36"/>
    </w:rPr>
  </w:style>
  <w:style w:type="character" w:styleId="PlaceholderText">
    <w:name w:val="Placeholder Text"/>
    <w:basedOn w:val="DefaultParagraphFont"/>
    <w:uiPriority w:val="99"/>
    <w:semiHidden/>
    <w:rsid w:val="00B25109"/>
    <w:rPr>
      <w:color w:val="808080"/>
    </w:rPr>
  </w:style>
  <w:style w:type="paragraph" w:styleId="BalloonText">
    <w:name w:val="Balloon Text"/>
    <w:basedOn w:val="Normal"/>
    <w:link w:val="BalloonTextChar"/>
    <w:uiPriority w:val="99"/>
    <w:semiHidden/>
    <w:unhideWhenUsed/>
    <w:rsid w:val="00E6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37F"/>
    <w:rPr>
      <w:rFonts w:ascii="Segoe UI" w:hAnsi="Segoe UI" w:cs="Segoe UI"/>
      <w:sz w:val="18"/>
      <w:szCs w:val="18"/>
    </w:rPr>
  </w:style>
  <w:style w:type="character" w:styleId="CommentReference">
    <w:name w:val="annotation reference"/>
    <w:basedOn w:val="DefaultParagraphFont"/>
    <w:uiPriority w:val="99"/>
    <w:semiHidden/>
    <w:unhideWhenUsed/>
    <w:rsid w:val="009B59FF"/>
    <w:rPr>
      <w:sz w:val="16"/>
      <w:szCs w:val="16"/>
    </w:rPr>
  </w:style>
  <w:style w:type="paragraph" w:styleId="CommentText">
    <w:name w:val="annotation text"/>
    <w:basedOn w:val="Normal"/>
    <w:link w:val="CommentTextChar"/>
    <w:uiPriority w:val="99"/>
    <w:semiHidden/>
    <w:unhideWhenUsed/>
    <w:rsid w:val="009B59FF"/>
    <w:rPr>
      <w:sz w:val="20"/>
      <w:szCs w:val="20"/>
    </w:rPr>
  </w:style>
  <w:style w:type="character" w:customStyle="1" w:styleId="CommentTextChar">
    <w:name w:val="Comment Text Char"/>
    <w:basedOn w:val="DefaultParagraphFont"/>
    <w:link w:val="CommentText"/>
    <w:uiPriority w:val="99"/>
    <w:semiHidden/>
    <w:rsid w:val="009B59F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B59FF"/>
    <w:rPr>
      <w:b/>
      <w:bCs/>
    </w:rPr>
  </w:style>
  <w:style w:type="character" w:customStyle="1" w:styleId="CommentSubjectChar">
    <w:name w:val="Comment Subject Char"/>
    <w:basedOn w:val="CommentTextChar"/>
    <w:link w:val="CommentSubject"/>
    <w:uiPriority w:val="99"/>
    <w:semiHidden/>
    <w:rsid w:val="009B59F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36965">
      <w:bodyDiv w:val="1"/>
      <w:marLeft w:val="0"/>
      <w:marRight w:val="0"/>
      <w:marTop w:val="0"/>
      <w:marBottom w:val="0"/>
      <w:divBdr>
        <w:top w:val="none" w:sz="0" w:space="0" w:color="auto"/>
        <w:left w:val="none" w:sz="0" w:space="0" w:color="auto"/>
        <w:bottom w:val="none" w:sz="0" w:space="0" w:color="auto"/>
        <w:right w:val="none" w:sz="0" w:space="0" w:color="auto"/>
      </w:divBdr>
    </w:div>
    <w:div w:id="90592671">
      <w:bodyDiv w:val="1"/>
      <w:marLeft w:val="0"/>
      <w:marRight w:val="0"/>
      <w:marTop w:val="0"/>
      <w:marBottom w:val="0"/>
      <w:divBdr>
        <w:top w:val="none" w:sz="0" w:space="0" w:color="auto"/>
        <w:left w:val="none" w:sz="0" w:space="0" w:color="auto"/>
        <w:bottom w:val="none" w:sz="0" w:space="0" w:color="auto"/>
        <w:right w:val="none" w:sz="0" w:space="0" w:color="auto"/>
      </w:divBdr>
    </w:div>
    <w:div w:id="321199919">
      <w:bodyDiv w:val="1"/>
      <w:marLeft w:val="0"/>
      <w:marRight w:val="0"/>
      <w:marTop w:val="0"/>
      <w:marBottom w:val="0"/>
      <w:divBdr>
        <w:top w:val="none" w:sz="0" w:space="0" w:color="auto"/>
        <w:left w:val="none" w:sz="0" w:space="0" w:color="auto"/>
        <w:bottom w:val="none" w:sz="0" w:space="0" w:color="auto"/>
        <w:right w:val="none" w:sz="0" w:space="0" w:color="auto"/>
      </w:divBdr>
    </w:div>
    <w:div w:id="358241880">
      <w:bodyDiv w:val="1"/>
      <w:marLeft w:val="0"/>
      <w:marRight w:val="0"/>
      <w:marTop w:val="0"/>
      <w:marBottom w:val="0"/>
      <w:divBdr>
        <w:top w:val="none" w:sz="0" w:space="0" w:color="auto"/>
        <w:left w:val="none" w:sz="0" w:space="0" w:color="auto"/>
        <w:bottom w:val="none" w:sz="0" w:space="0" w:color="auto"/>
        <w:right w:val="none" w:sz="0" w:space="0" w:color="auto"/>
      </w:divBdr>
    </w:div>
    <w:div w:id="460345020">
      <w:bodyDiv w:val="1"/>
      <w:marLeft w:val="0"/>
      <w:marRight w:val="0"/>
      <w:marTop w:val="0"/>
      <w:marBottom w:val="0"/>
      <w:divBdr>
        <w:top w:val="none" w:sz="0" w:space="0" w:color="auto"/>
        <w:left w:val="none" w:sz="0" w:space="0" w:color="auto"/>
        <w:bottom w:val="none" w:sz="0" w:space="0" w:color="auto"/>
        <w:right w:val="none" w:sz="0" w:space="0" w:color="auto"/>
      </w:divBdr>
    </w:div>
    <w:div w:id="463542406">
      <w:bodyDiv w:val="1"/>
      <w:marLeft w:val="0"/>
      <w:marRight w:val="0"/>
      <w:marTop w:val="0"/>
      <w:marBottom w:val="0"/>
      <w:divBdr>
        <w:top w:val="none" w:sz="0" w:space="0" w:color="auto"/>
        <w:left w:val="none" w:sz="0" w:space="0" w:color="auto"/>
        <w:bottom w:val="none" w:sz="0" w:space="0" w:color="auto"/>
        <w:right w:val="none" w:sz="0" w:space="0" w:color="auto"/>
      </w:divBdr>
      <w:divsChild>
        <w:div w:id="721515642">
          <w:marLeft w:val="0"/>
          <w:marRight w:val="0"/>
          <w:marTop w:val="0"/>
          <w:marBottom w:val="0"/>
          <w:divBdr>
            <w:top w:val="none" w:sz="0" w:space="0" w:color="auto"/>
            <w:left w:val="none" w:sz="0" w:space="0" w:color="auto"/>
            <w:bottom w:val="none" w:sz="0" w:space="0" w:color="auto"/>
            <w:right w:val="none" w:sz="0" w:space="0" w:color="auto"/>
          </w:divBdr>
        </w:div>
        <w:div w:id="1088228966">
          <w:marLeft w:val="0"/>
          <w:marRight w:val="0"/>
          <w:marTop w:val="0"/>
          <w:marBottom w:val="0"/>
          <w:divBdr>
            <w:top w:val="none" w:sz="0" w:space="0" w:color="auto"/>
            <w:left w:val="none" w:sz="0" w:space="0" w:color="auto"/>
            <w:bottom w:val="none" w:sz="0" w:space="0" w:color="auto"/>
            <w:right w:val="none" w:sz="0" w:space="0" w:color="auto"/>
          </w:divBdr>
        </w:div>
        <w:div w:id="1535848516">
          <w:marLeft w:val="0"/>
          <w:marRight w:val="0"/>
          <w:marTop w:val="0"/>
          <w:marBottom w:val="0"/>
          <w:divBdr>
            <w:top w:val="none" w:sz="0" w:space="0" w:color="auto"/>
            <w:left w:val="none" w:sz="0" w:space="0" w:color="auto"/>
            <w:bottom w:val="none" w:sz="0" w:space="0" w:color="auto"/>
            <w:right w:val="none" w:sz="0" w:space="0" w:color="auto"/>
          </w:divBdr>
        </w:div>
      </w:divsChild>
    </w:div>
    <w:div w:id="508759222">
      <w:bodyDiv w:val="1"/>
      <w:marLeft w:val="0"/>
      <w:marRight w:val="0"/>
      <w:marTop w:val="0"/>
      <w:marBottom w:val="0"/>
      <w:divBdr>
        <w:top w:val="none" w:sz="0" w:space="0" w:color="auto"/>
        <w:left w:val="none" w:sz="0" w:space="0" w:color="auto"/>
        <w:bottom w:val="none" w:sz="0" w:space="0" w:color="auto"/>
        <w:right w:val="none" w:sz="0" w:space="0" w:color="auto"/>
      </w:divBdr>
    </w:div>
    <w:div w:id="565341483">
      <w:bodyDiv w:val="1"/>
      <w:marLeft w:val="0"/>
      <w:marRight w:val="0"/>
      <w:marTop w:val="0"/>
      <w:marBottom w:val="0"/>
      <w:divBdr>
        <w:top w:val="none" w:sz="0" w:space="0" w:color="auto"/>
        <w:left w:val="none" w:sz="0" w:space="0" w:color="auto"/>
        <w:bottom w:val="none" w:sz="0" w:space="0" w:color="auto"/>
        <w:right w:val="none" w:sz="0" w:space="0" w:color="auto"/>
      </w:divBdr>
    </w:div>
    <w:div w:id="611130878">
      <w:bodyDiv w:val="1"/>
      <w:marLeft w:val="0"/>
      <w:marRight w:val="0"/>
      <w:marTop w:val="0"/>
      <w:marBottom w:val="0"/>
      <w:divBdr>
        <w:top w:val="none" w:sz="0" w:space="0" w:color="auto"/>
        <w:left w:val="none" w:sz="0" w:space="0" w:color="auto"/>
        <w:bottom w:val="none" w:sz="0" w:space="0" w:color="auto"/>
        <w:right w:val="none" w:sz="0" w:space="0" w:color="auto"/>
      </w:divBdr>
    </w:div>
    <w:div w:id="615059651">
      <w:bodyDiv w:val="1"/>
      <w:marLeft w:val="0"/>
      <w:marRight w:val="0"/>
      <w:marTop w:val="0"/>
      <w:marBottom w:val="0"/>
      <w:divBdr>
        <w:top w:val="none" w:sz="0" w:space="0" w:color="auto"/>
        <w:left w:val="none" w:sz="0" w:space="0" w:color="auto"/>
        <w:bottom w:val="none" w:sz="0" w:space="0" w:color="auto"/>
        <w:right w:val="none" w:sz="0" w:space="0" w:color="auto"/>
      </w:divBdr>
    </w:div>
    <w:div w:id="636181446">
      <w:bodyDiv w:val="1"/>
      <w:marLeft w:val="0"/>
      <w:marRight w:val="0"/>
      <w:marTop w:val="0"/>
      <w:marBottom w:val="0"/>
      <w:divBdr>
        <w:top w:val="none" w:sz="0" w:space="0" w:color="auto"/>
        <w:left w:val="none" w:sz="0" w:space="0" w:color="auto"/>
        <w:bottom w:val="none" w:sz="0" w:space="0" w:color="auto"/>
        <w:right w:val="none" w:sz="0" w:space="0" w:color="auto"/>
      </w:divBdr>
    </w:div>
    <w:div w:id="735784398">
      <w:bodyDiv w:val="1"/>
      <w:marLeft w:val="0"/>
      <w:marRight w:val="0"/>
      <w:marTop w:val="0"/>
      <w:marBottom w:val="0"/>
      <w:divBdr>
        <w:top w:val="none" w:sz="0" w:space="0" w:color="auto"/>
        <w:left w:val="none" w:sz="0" w:space="0" w:color="auto"/>
        <w:bottom w:val="none" w:sz="0" w:space="0" w:color="auto"/>
        <w:right w:val="none" w:sz="0" w:space="0" w:color="auto"/>
      </w:divBdr>
    </w:div>
    <w:div w:id="806818576">
      <w:bodyDiv w:val="1"/>
      <w:marLeft w:val="0"/>
      <w:marRight w:val="0"/>
      <w:marTop w:val="0"/>
      <w:marBottom w:val="0"/>
      <w:divBdr>
        <w:top w:val="none" w:sz="0" w:space="0" w:color="auto"/>
        <w:left w:val="none" w:sz="0" w:space="0" w:color="auto"/>
        <w:bottom w:val="none" w:sz="0" w:space="0" w:color="auto"/>
        <w:right w:val="none" w:sz="0" w:space="0" w:color="auto"/>
      </w:divBdr>
    </w:div>
    <w:div w:id="874657459">
      <w:bodyDiv w:val="1"/>
      <w:marLeft w:val="0"/>
      <w:marRight w:val="0"/>
      <w:marTop w:val="0"/>
      <w:marBottom w:val="0"/>
      <w:divBdr>
        <w:top w:val="none" w:sz="0" w:space="0" w:color="auto"/>
        <w:left w:val="none" w:sz="0" w:space="0" w:color="auto"/>
        <w:bottom w:val="none" w:sz="0" w:space="0" w:color="auto"/>
        <w:right w:val="none" w:sz="0" w:space="0" w:color="auto"/>
      </w:divBdr>
      <w:divsChild>
        <w:div w:id="619532676">
          <w:marLeft w:val="0"/>
          <w:marRight w:val="0"/>
          <w:marTop w:val="0"/>
          <w:marBottom w:val="0"/>
          <w:divBdr>
            <w:top w:val="none" w:sz="0" w:space="0" w:color="auto"/>
            <w:left w:val="none" w:sz="0" w:space="0" w:color="auto"/>
            <w:bottom w:val="none" w:sz="0" w:space="0" w:color="auto"/>
            <w:right w:val="none" w:sz="0" w:space="0" w:color="auto"/>
          </w:divBdr>
        </w:div>
        <w:div w:id="1502618334">
          <w:marLeft w:val="0"/>
          <w:marRight w:val="0"/>
          <w:marTop w:val="0"/>
          <w:marBottom w:val="0"/>
          <w:divBdr>
            <w:top w:val="none" w:sz="0" w:space="0" w:color="auto"/>
            <w:left w:val="none" w:sz="0" w:space="0" w:color="auto"/>
            <w:bottom w:val="none" w:sz="0" w:space="0" w:color="auto"/>
            <w:right w:val="none" w:sz="0" w:space="0" w:color="auto"/>
          </w:divBdr>
        </w:div>
      </w:divsChild>
    </w:div>
    <w:div w:id="879248450">
      <w:bodyDiv w:val="1"/>
      <w:marLeft w:val="0"/>
      <w:marRight w:val="0"/>
      <w:marTop w:val="0"/>
      <w:marBottom w:val="0"/>
      <w:divBdr>
        <w:top w:val="none" w:sz="0" w:space="0" w:color="auto"/>
        <w:left w:val="none" w:sz="0" w:space="0" w:color="auto"/>
        <w:bottom w:val="none" w:sz="0" w:space="0" w:color="auto"/>
        <w:right w:val="none" w:sz="0" w:space="0" w:color="auto"/>
      </w:divBdr>
    </w:div>
    <w:div w:id="912735259">
      <w:bodyDiv w:val="1"/>
      <w:marLeft w:val="0"/>
      <w:marRight w:val="0"/>
      <w:marTop w:val="0"/>
      <w:marBottom w:val="0"/>
      <w:divBdr>
        <w:top w:val="none" w:sz="0" w:space="0" w:color="auto"/>
        <w:left w:val="none" w:sz="0" w:space="0" w:color="auto"/>
        <w:bottom w:val="none" w:sz="0" w:space="0" w:color="auto"/>
        <w:right w:val="none" w:sz="0" w:space="0" w:color="auto"/>
      </w:divBdr>
    </w:div>
    <w:div w:id="952177117">
      <w:bodyDiv w:val="1"/>
      <w:marLeft w:val="0"/>
      <w:marRight w:val="0"/>
      <w:marTop w:val="0"/>
      <w:marBottom w:val="0"/>
      <w:divBdr>
        <w:top w:val="none" w:sz="0" w:space="0" w:color="auto"/>
        <w:left w:val="none" w:sz="0" w:space="0" w:color="auto"/>
        <w:bottom w:val="none" w:sz="0" w:space="0" w:color="auto"/>
        <w:right w:val="none" w:sz="0" w:space="0" w:color="auto"/>
      </w:divBdr>
    </w:div>
    <w:div w:id="1037511844">
      <w:bodyDiv w:val="1"/>
      <w:marLeft w:val="0"/>
      <w:marRight w:val="0"/>
      <w:marTop w:val="0"/>
      <w:marBottom w:val="0"/>
      <w:divBdr>
        <w:top w:val="none" w:sz="0" w:space="0" w:color="auto"/>
        <w:left w:val="none" w:sz="0" w:space="0" w:color="auto"/>
        <w:bottom w:val="none" w:sz="0" w:space="0" w:color="auto"/>
        <w:right w:val="none" w:sz="0" w:space="0" w:color="auto"/>
      </w:divBdr>
    </w:div>
    <w:div w:id="1226137091">
      <w:bodyDiv w:val="1"/>
      <w:marLeft w:val="0"/>
      <w:marRight w:val="0"/>
      <w:marTop w:val="0"/>
      <w:marBottom w:val="0"/>
      <w:divBdr>
        <w:top w:val="none" w:sz="0" w:space="0" w:color="auto"/>
        <w:left w:val="none" w:sz="0" w:space="0" w:color="auto"/>
        <w:bottom w:val="none" w:sz="0" w:space="0" w:color="auto"/>
        <w:right w:val="none" w:sz="0" w:space="0" w:color="auto"/>
      </w:divBdr>
    </w:div>
    <w:div w:id="1226338521">
      <w:bodyDiv w:val="1"/>
      <w:marLeft w:val="0"/>
      <w:marRight w:val="0"/>
      <w:marTop w:val="0"/>
      <w:marBottom w:val="0"/>
      <w:divBdr>
        <w:top w:val="none" w:sz="0" w:space="0" w:color="auto"/>
        <w:left w:val="none" w:sz="0" w:space="0" w:color="auto"/>
        <w:bottom w:val="none" w:sz="0" w:space="0" w:color="auto"/>
        <w:right w:val="none" w:sz="0" w:space="0" w:color="auto"/>
      </w:divBdr>
      <w:divsChild>
        <w:div w:id="195586938">
          <w:marLeft w:val="0"/>
          <w:marRight w:val="0"/>
          <w:marTop w:val="0"/>
          <w:marBottom w:val="0"/>
          <w:divBdr>
            <w:top w:val="none" w:sz="0" w:space="0" w:color="auto"/>
            <w:left w:val="none" w:sz="0" w:space="0" w:color="auto"/>
            <w:bottom w:val="none" w:sz="0" w:space="0" w:color="auto"/>
            <w:right w:val="none" w:sz="0" w:space="0" w:color="auto"/>
          </w:divBdr>
        </w:div>
        <w:div w:id="511378849">
          <w:marLeft w:val="0"/>
          <w:marRight w:val="0"/>
          <w:marTop w:val="0"/>
          <w:marBottom w:val="0"/>
          <w:divBdr>
            <w:top w:val="none" w:sz="0" w:space="0" w:color="auto"/>
            <w:left w:val="none" w:sz="0" w:space="0" w:color="auto"/>
            <w:bottom w:val="none" w:sz="0" w:space="0" w:color="auto"/>
            <w:right w:val="none" w:sz="0" w:space="0" w:color="auto"/>
          </w:divBdr>
        </w:div>
      </w:divsChild>
    </w:div>
    <w:div w:id="1287084487">
      <w:bodyDiv w:val="1"/>
      <w:marLeft w:val="0"/>
      <w:marRight w:val="0"/>
      <w:marTop w:val="0"/>
      <w:marBottom w:val="0"/>
      <w:divBdr>
        <w:top w:val="none" w:sz="0" w:space="0" w:color="auto"/>
        <w:left w:val="none" w:sz="0" w:space="0" w:color="auto"/>
        <w:bottom w:val="none" w:sz="0" w:space="0" w:color="auto"/>
        <w:right w:val="none" w:sz="0" w:space="0" w:color="auto"/>
      </w:divBdr>
    </w:div>
    <w:div w:id="1294748442">
      <w:bodyDiv w:val="1"/>
      <w:marLeft w:val="0"/>
      <w:marRight w:val="0"/>
      <w:marTop w:val="0"/>
      <w:marBottom w:val="0"/>
      <w:divBdr>
        <w:top w:val="none" w:sz="0" w:space="0" w:color="auto"/>
        <w:left w:val="none" w:sz="0" w:space="0" w:color="auto"/>
        <w:bottom w:val="none" w:sz="0" w:space="0" w:color="auto"/>
        <w:right w:val="none" w:sz="0" w:space="0" w:color="auto"/>
      </w:divBdr>
    </w:div>
    <w:div w:id="1295915151">
      <w:bodyDiv w:val="1"/>
      <w:marLeft w:val="0"/>
      <w:marRight w:val="0"/>
      <w:marTop w:val="0"/>
      <w:marBottom w:val="0"/>
      <w:divBdr>
        <w:top w:val="none" w:sz="0" w:space="0" w:color="auto"/>
        <w:left w:val="none" w:sz="0" w:space="0" w:color="auto"/>
        <w:bottom w:val="none" w:sz="0" w:space="0" w:color="auto"/>
        <w:right w:val="none" w:sz="0" w:space="0" w:color="auto"/>
      </w:divBdr>
    </w:div>
    <w:div w:id="1397509764">
      <w:bodyDiv w:val="1"/>
      <w:marLeft w:val="0"/>
      <w:marRight w:val="0"/>
      <w:marTop w:val="0"/>
      <w:marBottom w:val="0"/>
      <w:divBdr>
        <w:top w:val="none" w:sz="0" w:space="0" w:color="auto"/>
        <w:left w:val="none" w:sz="0" w:space="0" w:color="auto"/>
        <w:bottom w:val="none" w:sz="0" w:space="0" w:color="auto"/>
        <w:right w:val="none" w:sz="0" w:space="0" w:color="auto"/>
      </w:divBdr>
    </w:div>
    <w:div w:id="1508712629">
      <w:bodyDiv w:val="1"/>
      <w:marLeft w:val="0"/>
      <w:marRight w:val="0"/>
      <w:marTop w:val="0"/>
      <w:marBottom w:val="0"/>
      <w:divBdr>
        <w:top w:val="none" w:sz="0" w:space="0" w:color="auto"/>
        <w:left w:val="none" w:sz="0" w:space="0" w:color="auto"/>
        <w:bottom w:val="none" w:sz="0" w:space="0" w:color="auto"/>
        <w:right w:val="none" w:sz="0" w:space="0" w:color="auto"/>
      </w:divBdr>
    </w:div>
    <w:div w:id="1539853628">
      <w:bodyDiv w:val="1"/>
      <w:marLeft w:val="0"/>
      <w:marRight w:val="0"/>
      <w:marTop w:val="0"/>
      <w:marBottom w:val="0"/>
      <w:divBdr>
        <w:top w:val="none" w:sz="0" w:space="0" w:color="auto"/>
        <w:left w:val="none" w:sz="0" w:space="0" w:color="auto"/>
        <w:bottom w:val="none" w:sz="0" w:space="0" w:color="auto"/>
        <w:right w:val="none" w:sz="0" w:space="0" w:color="auto"/>
      </w:divBdr>
    </w:div>
    <w:div w:id="1544174445">
      <w:bodyDiv w:val="1"/>
      <w:marLeft w:val="0"/>
      <w:marRight w:val="0"/>
      <w:marTop w:val="0"/>
      <w:marBottom w:val="0"/>
      <w:divBdr>
        <w:top w:val="none" w:sz="0" w:space="0" w:color="auto"/>
        <w:left w:val="none" w:sz="0" w:space="0" w:color="auto"/>
        <w:bottom w:val="none" w:sz="0" w:space="0" w:color="auto"/>
        <w:right w:val="none" w:sz="0" w:space="0" w:color="auto"/>
      </w:divBdr>
    </w:div>
    <w:div w:id="1612005150">
      <w:bodyDiv w:val="1"/>
      <w:marLeft w:val="0"/>
      <w:marRight w:val="0"/>
      <w:marTop w:val="0"/>
      <w:marBottom w:val="0"/>
      <w:divBdr>
        <w:top w:val="none" w:sz="0" w:space="0" w:color="auto"/>
        <w:left w:val="none" w:sz="0" w:space="0" w:color="auto"/>
        <w:bottom w:val="none" w:sz="0" w:space="0" w:color="auto"/>
        <w:right w:val="none" w:sz="0" w:space="0" w:color="auto"/>
      </w:divBdr>
    </w:div>
    <w:div w:id="1704015211">
      <w:bodyDiv w:val="1"/>
      <w:marLeft w:val="0"/>
      <w:marRight w:val="0"/>
      <w:marTop w:val="0"/>
      <w:marBottom w:val="0"/>
      <w:divBdr>
        <w:top w:val="none" w:sz="0" w:space="0" w:color="auto"/>
        <w:left w:val="none" w:sz="0" w:space="0" w:color="auto"/>
        <w:bottom w:val="none" w:sz="0" w:space="0" w:color="auto"/>
        <w:right w:val="none" w:sz="0" w:space="0" w:color="auto"/>
      </w:divBdr>
    </w:div>
    <w:div w:id="1738281770">
      <w:bodyDiv w:val="1"/>
      <w:marLeft w:val="0"/>
      <w:marRight w:val="0"/>
      <w:marTop w:val="0"/>
      <w:marBottom w:val="0"/>
      <w:divBdr>
        <w:top w:val="none" w:sz="0" w:space="0" w:color="auto"/>
        <w:left w:val="none" w:sz="0" w:space="0" w:color="auto"/>
        <w:bottom w:val="none" w:sz="0" w:space="0" w:color="auto"/>
        <w:right w:val="none" w:sz="0" w:space="0" w:color="auto"/>
      </w:divBdr>
    </w:div>
    <w:div w:id="1753890621">
      <w:bodyDiv w:val="1"/>
      <w:marLeft w:val="0"/>
      <w:marRight w:val="0"/>
      <w:marTop w:val="0"/>
      <w:marBottom w:val="0"/>
      <w:divBdr>
        <w:top w:val="none" w:sz="0" w:space="0" w:color="auto"/>
        <w:left w:val="none" w:sz="0" w:space="0" w:color="auto"/>
        <w:bottom w:val="none" w:sz="0" w:space="0" w:color="auto"/>
        <w:right w:val="none" w:sz="0" w:space="0" w:color="auto"/>
      </w:divBdr>
    </w:div>
    <w:div w:id="190574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pers.ssrn.com/sol3/papers.cfm?abstract_id=10319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34879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apers.ssrn.com/sol3/papers.cfm?abstract_id=340508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14E5E-AC9D-45F5-BBDD-BCC2E500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58</Pages>
  <Words>19063</Words>
  <Characters>93222</Characters>
  <Application>Microsoft Office Word</Application>
  <DocSecurity>0</DocSecurity>
  <Lines>1607</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Huang</dc:creator>
  <cp:keywords/>
  <dc:description/>
  <cp:lastModifiedBy>Sourinsack,Phonepaseuth</cp:lastModifiedBy>
  <cp:revision>3</cp:revision>
  <dcterms:created xsi:type="dcterms:W3CDTF">2020-09-11T19:46:00Z</dcterms:created>
  <dcterms:modified xsi:type="dcterms:W3CDTF">2020-09-15T07:29:00Z</dcterms:modified>
</cp:coreProperties>
</file>